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05925" w14:textId="77777777" w:rsidR="00BE3A14" w:rsidRPr="00EA796A" w:rsidRDefault="00BE3A14" w:rsidP="00EF5B4E">
      <w:pPr>
        <w:numPr>
          <w:ilvl w:val="0"/>
          <w:numId w:val="0"/>
        </w:numPr>
        <w:pBdr>
          <w:bottom w:val="single" w:sz="12" w:space="1" w:color="auto"/>
        </w:pBdr>
        <w:spacing w:after="0"/>
        <w:rPr>
          <w:rFonts w:cs="Times New Roman"/>
          <w:color w:val="000000" w:themeColor="text1"/>
          <w:szCs w:val="24"/>
          <w:lang w:val="en-US"/>
        </w:rPr>
      </w:pPr>
      <w:bookmarkStart w:id="0" w:name="_GoBack"/>
      <w:bookmarkEnd w:id="0"/>
    </w:p>
    <w:p w14:paraId="59E5E0AC" w14:textId="77777777" w:rsidR="00BE3A14" w:rsidRPr="00EA796A" w:rsidRDefault="00BE3A14" w:rsidP="003124CE">
      <w:pPr>
        <w:numPr>
          <w:ilvl w:val="0"/>
          <w:numId w:val="0"/>
        </w:numPr>
        <w:pBdr>
          <w:bottom w:val="single" w:sz="12" w:space="1" w:color="auto"/>
        </w:pBdr>
        <w:spacing w:after="0"/>
        <w:rPr>
          <w:rFonts w:cs="Times New Roman"/>
          <w:b/>
          <w:color w:val="000000" w:themeColor="text1"/>
          <w:szCs w:val="24"/>
          <w:lang w:val="en-US"/>
        </w:rPr>
      </w:pPr>
    </w:p>
    <w:p w14:paraId="68387F59" w14:textId="77777777" w:rsidR="00046D8C" w:rsidRPr="00EA796A" w:rsidRDefault="00046D8C" w:rsidP="00EF5B4E">
      <w:pPr>
        <w:numPr>
          <w:ilvl w:val="0"/>
          <w:numId w:val="0"/>
        </w:numPr>
        <w:pBdr>
          <w:bottom w:val="single" w:sz="12" w:space="1" w:color="auto"/>
        </w:pBdr>
        <w:spacing w:after="0"/>
        <w:jc w:val="center"/>
        <w:rPr>
          <w:rFonts w:cs="Times New Roman"/>
          <w:b/>
          <w:color w:val="000000" w:themeColor="text1"/>
          <w:szCs w:val="24"/>
          <w:lang w:val="en-US"/>
        </w:rPr>
      </w:pPr>
    </w:p>
    <w:p w14:paraId="62E915E7" w14:textId="77777777" w:rsidR="00BE3A14" w:rsidRPr="00EA796A" w:rsidRDefault="00BE3A14" w:rsidP="00EF5B4E">
      <w:pPr>
        <w:numPr>
          <w:ilvl w:val="0"/>
          <w:numId w:val="0"/>
        </w:numPr>
        <w:spacing w:after="0"/>
        <w:jc w:val="center"/>
        <w:rPr>
          <w:rFonts w:cs="Times New Roman"/>
          <w:b/>
          <w:color w:val="000000" w:themeColor="text1"/>
          <w:szCs w:val="24"/>
          <w:lang w:val="en-US"/>
        </w:rPr>
      </w:pPr>
    </w:p>
    <w:p w14:paraId="22FA1C95" w14:textId="77777777" w:rsidR="00BE3A14" w:rsidRPr="00EA796A" w:rsidRDefault="00BE3A14" w:rsidP="00EF5B4E">
      <w:pPr>
        <w:numPr>
          <w:ilvl w:val="0"/>
          <w:numId w:val="0"/>
        </w:numPr>
        <w:spacing w:after="0"/>
        <w:jc w:val="center"/>
        <w:rPr>
          <w:rFonts w:cs="Times New Roman"/>
          <w:b/>
          <w:i/>
          <w:iCs/>
          <w:color w:val="000000" w:themeColor="text1"/>
          <w:szCs w:val="24"/>
          <w:lang w:val="en-US"/>
        </w:rPr>
      </w:pPr>
      <w:r w:rsidRPr="00EA796A">
        <w:rPr>
          <w:rFonts w:cs="Times New Roman"/>
          <w:b/>
          <w:color w:val="000000" w:themeColor="text1"/>
          <w:szCs w:val="24"/>
          <w:lang w:val="en-US"/>
        </w:rPr>
        <w:t xml:space="preserve">CASE OF BOLT </w:t>
      </w:r>
      <w:r w:rsidRPr="00EA796A">
        <w:rPr>
          <w:rFonts w:cs="Times New Roman"/>
          <w:b/>
          <w:i/>
          <w:iCs/>
          <w:color w:val="000000" w:themeColor="text1"/>
          <w:szCs w:val="24"/>
          <w:lang w:val="en-US"/>
        </w:rPr>
        <w:t>ET AL.</w:t>
      </w:r>
    </w:p>
    <w:p w14:paraId="7A484275" w14:textId="133EF59C" w:rsidR="003124CE" w:rsidRPr="00EA796A" w:rsidRDefault="003124CE" w:rsidP="00EF5B4E">
      <w:pPr>
        <w:numPr>
          <w:ilvl w:val="0"/>
          <w:numId w:val="0"/>
        </w:numPr>
        <w:spacing w:after="0"/>
        <w:jc w:val="center"/>
        <w:rPr>
          <w:rFonts w:cs="Times New Roman"/>
          <w:b/>
          <w:i/>
          <w:iCs/>
          <w:color w:val="000000" w:themeColor="text1"/>
          <w:szCs w:val="24"/>
          <w:lang w:val="en-US"/>
        </w:rPr>
      </w:pPr>
      <w:r w:rsidRPr="00EA796A">
        <w:rPr>
          <w:rFonts w:cs="Times New Roman"/>
          <w:b/>
          <w:i/>
          <w:iCs/>
          <w:color w:val="000000" w:themeColor="text1"/>
          <w:szCs w:val="24"/>
          <w:lang w:val="en-US"/>
        </w:rPr>
        <w:t>v.</w:t>
      </w:r>
    </w:p>
    <w:p w14:paraId="412A6A5B" w14:textId="592B8096" w:rsidR="003124CE" w:rsidRPr="00EA796A" w:rsidRDefault="003124CE" w:rsidP="00EF5B4E">
      <w:pPr>
        <w:numPr>
          <w:ilvl w:val="0"/>
          <w:numId w:val="0"/>
        </w:numPr>
        <w:spacing w:after="0"/>
        <w:jc w:val="center"/>
        <w:rPr>
          <w:rFonts w:cs="Times New Roman"/>
          <w:b/>
          <w:iCs/>
          <w:color w:val="000000" w:themeColor="text1"/>
          <w:szCs w:val="24"/>
          <w:lang w:val="en-US"/>
        </w:rPr>
      </w:pPr>
      <w:r w:rsidRPr="00EA796A">
        <w:rPr>
          <w:rFonts w:cs="Times New Roman"/>
          <w:b/>
          <w:iCs/>
          <w:color w:val="000000" w:themeColor="text1"/>
          <w:szCs w:val="24"/>
          <w:lang w:val="en-US"/>
        </w:rPr>
        <w:t>THE CARDENAL REPUBLIC</w:t>
      </w:r>
    </w:p>
    <w:p w14:paraId="6B4EACD5" w14:textId="77777777" w:rsidR="00BE3A14" w:rsidRPr="00EA796A" w:rsidRDefault="00BE3A14" w:rsidP="00EF5B4E">
      <w:pPr>
        <w:numPr>
          <w:ilvl w:val="0"/>
          <w:numId w:val="0"/>
        </w:numPr>
        <w:pBdr>
          <w:bottom w:val="single" w:sz="12" w:space="1" w:color="auto"/>
        </w:pBdr>
        <w:spacing w:after="0"/>
        <w:jc w:val="center"/>
        <w:rPr>
          <w:rFonts w:cs="Times New Roman"/>
          <w:color w:val="000000" w:themeColor="text1"/>
          <w:szCs w:val="24"/>
          <w:lang w:val="en-US"/>
        </w:rPr>
      </w:pPr>
    </w:p>
    <w:p w14:paraId="44495B11" w14:textId="77777777" w:rsidR="00BE3A14" w:rsidRPr="00EA796A" w:rsidRDefault="00BE3A14" w:rsidP="00EF5B4E">
      <w:pPr>
        <w:numPr>
          <w:ilvl w:val="0"/>
          <w:numId w:val="0"/>
        </w:numPr>
        <w:spacing w:after="0"/>
        <w:jc w:val="center"/>
        <w:rPr>
          <w:rFonts w:cs="Times New Roman"/>
          <w:color w:val="000000" w:themeColor="text1"/>
          <w:szCs w:val="24"/>
          <w:lang w:val="en-US"/>
        </w:rPr>
      </w:pPr>
    </w:p>
    <w:p w14:paraId="203A7240" w14:textId="77777777" w:rsidR="00046D8C" w:rsidRPr="00EA796A" w:rsidRDefault="00046D8C" w:rsidP="00EF5B4E">
      <w:pPr>
        <w:numPr>
          <w:ilvl w:val="0"/>
          <w:numId w:val="0"/>
        </w:numPr>
        <w:spacing w:after="0"/>
        <w:jc w:val="center"/>
        <w:rPr>
          <w:rFonts w:cs="Times New Roman"/>
          <w:color w:val="000000" w:themeColor="text1"/>
          <w:szCs w:val="24"/>
          <w:lang w:val="en-US"/>
        </w:rPr>
      </w:pPr>
    </w:p>
    <w:p w14:paraId="7D3DCD60" w14:textId="77777777" w:rsidR="00046D8C" w:rsidRPr="00EA796A" w:rsidRDefault="00046D8C" w:rsidP="00EF5B4E">
      <w:pPr>
        <w:numPr>
          <w:ilvl w:val="0"/>
          <w:numId w:val="0"/>
        </w:numPr>
        <w:spacing w:after="0"/>
        <w:jc w:val="center"/>
        <w:rPr>
          <w:rFonts w:cs="Times New Roman"/>
          <w:color w:val="000000" w:themeColor="text1"/>
          <w:szCs w:val="24"/>
          <w:lang w:val="en-US"/>
        </w:rPr>
      </w:pPr>
    </w:p>
    <w:p w14:paraId="46FCCAB2" w14:textId="77777777" w:rsidR="00046D8C" w:rsidRPr="00EA796A" w:rsidRDefault="00046D8C" w:rsidP="00EF5B4E">
      <w:pPr>
        <w:numPr>
          <w:ilvl w:val="0"/>
          <w:numId w:val="0"/>
        </w:numPr>
        <w:spacing w:after="0"/>
        <w:jc w:val="center"/>
        <w:rPr>
          <w:rFonts w:cs="Times New Roman"/>
          <w:color w:val="000000" w:themeColor="text1"/>
          <w:szCs w:val="24"/>
          <w:lang w:val="en-US"/>
        </w:rPr>
      </w:pPr>
    </w:p>
    <w:p w14:paraId="6AF8DB04" w14:textId="77777777" w:rsidR="00046D8C" w:rsidRPr="00EA796A" w:rsidRDefault="00046D8C" w:rsidP="00EF5B4E">
      <w:pPr>
        <w:numPr>
          <w:ilvl w:val="0"/>
          <w:numId w:val="0"/>
        </w:numPr>
        <w:spacing w:after="0"/>
        <w:jc w:val="center"/>
        <w:rPr>
          <w:rFonts w:cs="Times New Roman"/>
          <w:color w:val="000000" w:themeColor="text1"/>
          <w:szCs w:val="24"/>
          <w:lang w:val="en-US"/>
        </w:rPr>
      </w:pPr>
    </w:p>
    <w:p w14:paraId="74F0D96C" w14:textId="77777777" w:rsidR="003124CE" w:rsidRPr="00EA796A" w:rsidRDefault="003124CE" w:rsidP="00EF5B4E">
      <w:pPr>
        <w:numPr>
          <w:ilvl w:val="0"/>
          <w:numId w:val="0"/>
        </w:numPr>
        <w:spacing w:after="0"/>
        <w:jc w:val="center"/>
        <w:rPr>
          <w:rFonts w:cs="Times New Roman"/>
          <w:color w:val="000000" w:themeColor="text1"/>
          <w:szCs w:val="24"/>
          <w:lang w:val="en-US"/>
        </w:rPr>
      </w:pPr>
    </w:p>
    <w:p w14:paraId="56D209C1" w14:textId="77777777" w:rsidR="003124CE" w:rsidRPr="00EA796A" w:rsidRDefault="003124CE" w:rsidP="00EF5B4E">
      <w:pPr>
        <w:numPr>
          <w:ilvl w:val="0"/>
          <w:numId w:val="0"/>
        </w:numPr>
        <w:spacing w:after="0"/>
        <w:jc w:val="center"/>
        <w:rPr>
          <w:rFonts w:cs="Times New Roman"/>
          <w:color w:val="000000" w:themeColor="text1"/>
          <w:szCs w:val="24"/>
          <w:lang w:val="en-US"/>
        </w:rPr>
      </w:pPr>
    </w:p>
    <w:p w14:paraId="52CD2554" w14:textId="77777777" w:rsidR="003124CE" w:rsidRPr="00EA796A" w:rsidRDefault="003124CE" w:rsidP="00EF5B4E">
      <w:pPr>
        <w:numPr>
          <w:ilvl w:val="0"/>
          <w:numId w:val="0"/>
        </w:numPr>
        <w:spacing w:after="0"/>
        <w:jc w:val="center"/>
        <w:rPr>
          <w:rFonts w:cs="Times New Roman"/>
          <w:color w:val="000000" w:themeColor="text1"/>
          <w:szCs w:val="24"/>
          <w:lang w:val="en-US"/>
        </w:rPr>
      </w:pPr>
    </w:p>
    <w:p w14:paraId="231DD6CB" w14:textId="77777777" w:rsidR="003124CE" w:rsidRPr="00EA796A" w:rsidRDefault="003124CE" w:rsidP="00EF5B4E">
      <w:pPr>
        <w:numPr>
          <w:ilvl w:val="0"/>
          <w:numId w:val="0"/>
        </w:numPr>
        <w:spacing w:after="0"/>
        <w:jc w:val="center"/>
        <w:rPr>
          <w:rFonts w:cs="Times New Roman"/>
          <w:color w:val="000000" w:themeColor="text1"/>
          <w:szCs w:val="24"/>
          <w:lang w:val="en-US"/>
        </w:rPr>
      </w:pPr>
    </w:p>
    <w:p w14:paraId="4AC5E3F7" w14:textId="77777777" w:rsidR="003124CE" w:rsidRPr="00EA796A" w:rsidRDefault="003124CE" w:rsidP="00EF5B4E">
      <w:pPr>
        <w:numPr>
          <w:ilvl w:val="0"/>
          <w:numId w:val="0"/>
        </w:numPr>
        <w:spacing w:after="0"/>
        <w:jc w:val="center"/>
        <w:rPr>
          <w:rFonts w:cs="Times New Roman"/>
          <w:color w:val="000000" w:themeColor="text1"/>
          <w:szCs w:val="24"/>
          <w:lang w:val="en-US"/>
        </w:rPr>
      </w:pPr>
    </w:p>
    <w:p w14:paraId="24C759BE" w14:textId="77777777" w:rsidR="003124CE" w:rsidRPr="00EA796A" w:rsidRDefault="003124CE" w:rsidP="00EF5B4E">
      <w:pPr>
        <w:numPr>
          <w:ilvl w:val="0"/>
          <w:numId w:val="0"/>
        </w:numPr>
        <w:spacing w:after="0"/>
        <w:jc w:val="center"/>
        <w:rPr>
          <w:rFonts w:cs="Times New Roman"/>
          <w:color w:val="000000" w:themeColor="text1"/>
          <w:szCs w:val="24"/>
          <w:lang w:val="en-US"/>
        </w:rPr>
      </w:pPr>
    </w:p>
    <w:p w14:paraId="0ECA8DCA" w14:textId="77777777" w:rsidR="003124CE" w:rsidRPr="00EA796A" w:rsidRDefault="003124CE" w:rsidP="00EF5B4E">
      <w:pPr>
        <w:numPr>
          <w:ilvl w:val="0"/>
          <w:numId w:val="0"/>
        </w:numPr>
        <w:spacing w:after="0"/>
        <w:jc w:val="center"/>
        <w:rPr>
          <w:rFonts w:cs="Times New Roman"/>
          <w:color w:val="000000" w:themeColor="text1"/>
          <w:szCs w:val="24"/>
          <w:lang w:val="en-US"/>
        </w:rPr>
      </w:pPr>
    </w:p>
    <w:p w14:paraId="67F705D0" w14:textId="77777777" w:rsidR="00046D8C" w:rsidRPr="00EA796A" w:rsidRDefault="00046D8C" w:rsidP="00EF5B4E">
      <w:pPr>
        <w:numPr>
          <w:ilvl w:val="0"/>
          <w:numId w:val="0"/>
        </w:numPr>
        <w:spacing w:after="0"/>
        <w:jc w:val="center"/>
        <w:rPr>
          <w:rFonts w:cs="Times New Roman"/>
          <w:color w:val="000000" w:themeColor="text1"/>
          <w:szCs w:val="24"/>
          <w:lang w:val="en-US"/>
        </w:rPr>
      </w:pPr>
    </w:p>
    <w:p w14:paraId="4D378666" w14:textId="77777777" w:rsidR="00BE3A14" w:rsidRPr="00EA796A" w:rsidRDefault="00BE3A14" w:rsidP="00EF5B4E">
      <w:pPr>
        <w:numPr>
          <w:ilvl w:val="0"/>
          <w:numId w:val="0"/>
        </w:numPr>
        <w:spacing w:after="0"/>
        <w:jc w:val="center"/>
        <w:rPr>
          <w:rFonts w:cs="Times New Roman"/>
          <w:color w:val="000000" w:themeColor="text1"/>
          <w:szCs w:val="24"/>
          <w:lang w:val="en-US"/>
        </w:rPr>
      </w:pPr>
    </w:p>
    <w:p w14:paraId="56DB29A0" w14:textId="066437BF" w:rsidR="00BE3A14" w:rsidRPr="00EA796A" w:rsidRDefault="00BE3A14" w:rsidP="003B7073">
      <w:pPr>
        <w:numPr>
          <w:ilvl w:val="0"/>
          <w:numId w:val="0"/>
        </w:numPr>
        <w:spacing w:after="0"/>
        <w:jc w:val="center"/>
        <w:rPr>
          <w:rFonts w:cs="Times New Roman"/>
          <w:color w:val="000000" w:themeColor="text1"/>
          <w:szCs w:val="24"/>
          <w:lang w:val="en-US"/>
        </w:rPr>
      </w:pPr>
      <w:r w:rsidRPr="00EA796A">
        <w:rPr>
          <w:rFonts w:cs="Times New Roman"/>
          <w:color w:val="000000" w:themeColor="text1"/>
          <w:szCs w:val="24"/>
          <w:lang w:val="en-US"/>
        </w:rPr>
        <w:t>MEMORIAL FOR THE STATE</w:t>
      </w:r>
    </w:p>
    <w:p w14:paraId="57B2C4FD" w14:textId="5AF19078" w:rsidR="00D2477B" w:rsidRPr="00EA796A" w:rsidRDefault="00A75DC0" w:rsidP="00EF5B4E">
      <w:pPr>
        <w:pStyle w:val="Heading1"/>
        <w:spacing w:before="0" w:after="0"/>
        <w:rPr>
          <w:rFonts w:ascii="Times New Roman" w:hAnsi="Times New Roman" w:cs="Times New Roman"/>
          <w:color w:val="000000" w:themeColor="text1"/>
          <w:sz w:val="24"/>
          <w:szCs w:val="24"/>
          <w:lang w:val="nl-NL"/>
        </w:rPr>
      </w:pPr>
      <w:bookmarkStart w:id="1" w:name="_Toc288727691"/>
      <w:bookmarkStart w:id="2" w:name="_Toc288789543"/>
      <w:r w:rsidRPr="00EA796A">
        <w:rPr>
          <w:rFonts w:ascii="Times New Roman" w:hAnsi="Times New Roman" w:cs="Times New Roman"/>
          <w:color w:val="000000" w:themeColor="text1"/>
          <w:sz w:val="24"/>
          <w:szCs w:val="24"/>
          <w:lang w:val="nl-NL"/>
        </w:rPr>
        <w:lastRenderedPageBreak/>
        <w:t>Table of Contents</w:t>
      </w:r>
      <w:bookmarkEnd w:id="1"/>
      <w:bookmarkEnd w:id="2"/>
    </w:p>
    <w:p w14:paraId="10D1E2F8" w14:textId="77777777" w:rsidR="00CD1557" w:rsidRPr="00EA796A" w:rsidRDefault="00A75DC0">
      <w:pPr>
        <w:pStyle w:val="TOC1"/>
        <w:tabs>
          <w:tab w:val="left" w:pos="393"/>
          <w:tab w:val="right" w:leader="dot" w:pos="9396"/>
        </w:tabs>
        <w:rPr>
          <w:rFonts w:ascii="Times New Roman" w:hAnsi="Times New Roman" w:cs="Times New Roman"/>
          <w:b w:val="0"/>
          <w:noProof/>
          <w:color w:val="000000" w:themeColor="text1"/>
          <w:lang w:eastAsia="ja-JP" w:bidi="ar-SA"/>
        </w:rPr>
      </w:pPr>
      <w:r w:rsidRPr="00EA796A">
        <w:rPr>
          <w:rFonts w:ascii="Times New Roman" w:hAnsi="Times New Roman" w:cs="Times New Roman"/>
          <w:color w:val="000000" w:themeColor="text1"/>
        </w:rPr>
        <w:fldChar w:fldCharType="begin"/>
      </w:r>
      <w:r w:rsidRPr="00EA796A">
        <w:rPr>
          <w:rFonts w:ascii="Times New Roman" w:hAnsi="Times New Roman" w:cs="Times New Roman"/>
          <w:color w:val="000000" w:themeColor="text1"/>
        </w:rPr>
        <w:instrText xml:space="preserve"> TOC \o </w:instrText>
      </w:r>
      <w:r w:rsidRPr="00EA796A">
        <w:rPr>
          <w:rFonts w:ascii="Times New Roman" w:hAnsi="Times New Roman" w:cs="Times New Roman"/>
          <w:color w:val="000000" w:themeColor="text1"/>
        </w:rPr>
        <w:fldChar w:fldCharType="separate"/>
      </w:r>
      <w:r w:rsidR="00CD1557" w:rsidRPr="00EA796A">
        <w:rPr>
          <w:rFonts w:ascii="Times New Roman" w:hAnsi="Times New Roman" w:cs="Times New Roman"/>
          <w:noProof/>
          <w:color w:val="000000" w:themeColor="text1"/>
          <w:lang w:val="nl-NL"/>
        </w:rPr>
        <w:t>I.</w:t>
      </w:r>
      <w:r w:rsidR="00CD1557" w:rsidRPr="00EA796A">
        <w:rPr>
          <w:rFonts w:ascii="Times New Roman" w:hAnsi="Times New Roman" w:cs="Times New Roman"/>
          <w:b w:val="0"/>
          <w:noProof/>
          <w:color w:val="000000" w:themeColor="text1"/>
          <w:lang w:eastAsia="ja-JP" w:bidi="ar-SA"/>
        </w:rPr>
        <w:tab/>
      </w:r>
      <w:r w:rsidR="00CD1557" w:rsidRPr="00EA796A">
        <w:rPr>
          <w:rFonts w:ascii="Times New Roman" w:hAnsi="Times New Roman" w:cs="Times New Roman"/>
          <w:noProof/>
          <w:color w:val="000000" w:themeColor="text1"/>
          <w:lang w:val="nl-NL"/>
        </w:rPr>
        <w:t>Table of Contents</w:t>
      </w:r>
      <w:r w:rsidR="00CD1557" w:rsidRPr="00EA796A">
        <w:rPr>
          <w:rFonts w:ascii="Times New Roman" w:hAnsi="Times New Roman" w:cs="Times New Roman"/>
          <w:noProof/>
          <w:color w:val="000000" w:themeColor="text1"/>
        </w:rPr>
        <w:tab/>
      </w:r>
      <w:r w:rsidR="00CD1557" w:rsidRPr="00EA796A">
        <w:rPr>
          <w:rFonts w:ascii="Times New Roman" w:hAnsi="Times New Roman" w:cs="Times New Roman"/>
          <w:noProof/>
          <w:color w:val="000000" w:themeColor="text1"/>
        </w:rPr>
        <w:fldChar w:fldCharType="begin"/>
      </w:r>
      <w:r w:rsidR="00CD1557" w:rsidRPr="00EA796A">
        <w:rPr>
          <w:rFonts w:ascii="Times New Roman" w:hAnsi="Times New Roman" w:cs="Times New Roman"/>
          <w:noProof/>
          <w:color w:val="000000" w:themeColor="text1"/>
        </w:rPr>
        <w:instrText xml:space="preserve"> PAGEREF _Toc288789543 \h </w:instrText>
      </w:r>
      <w:r w:rsidR="00CD1557" w:rsidRPr="00EA796A">
        <w:rPr>
          <w:rFonts w:ascii="Times New Roman" w:hAnsi="Times New Roman" w:cs="Times New Roman"/>
          <w:noProof/>
          <w:color w:val="000000" w:themeColor="text1"/>
        </w:rPr>
      </w:r>
      <w:r w:rsidR="00CD1557" w:rsidRPr="00EA796A">
        <w:rPr>
          <w:rFonts w:ascii="Times New Roman" w:hAnsi="Times New Roman" w:cs="Times New Roman"/>
          <w:noProof/>
          <w:color w:val="000000" w:themeColor="text1"/>
        </w:rPr>
        <w:fldChar w:fldCharType="separate"/>
      </w:r>
      <w:r w:rsidR="00CD1557" w:rsidRPr="00EA796A">
        <w:rPr>
          <w:rFonts w:ascii="Times New Roman" w:hAnsi="Times New Roman" w:cs="Times New Roman"/>
          <w:noProof/>
          <w:color w:val="000000" w:themeColor="text1"/>
        </w:rPr>
        <w:t>2</w:t>
      </w:r>
      <w:r w:rsidR="00CD1557" w:rsidRPr="00EA796A">
        <w:rPr>
          <w:rFonts w:ascii="Times New Roman" w:hAnsi="Times New Roman" w:cs="Times New Roman"/>
          <w:noProof/>
          <w:color w:val="000000" w:themeColor="text1"/>
        </w:rPr>
        <w:fldChar w:fldCharType="end"/>
      </w:r>
    </w:p>
    <w:p w14:paraId="5EFD01AF" w14:textId="77777777" w:rsidR="00CD1557" w:rsidRPr="00EA796A" w:rsidRDefault="00CD1557">
      <w:pPr>
        <w:pStyle w:val="TOC1"/>
        <w:tabs>
          <w:tab w:val="left" w:pos="487"/>
          <w:tab w:val="right" w:leader="dot" w:pos="9396"/>
        </w:tabs>
        <w:rPr>
          <w:rFonts w:ascii="Times New Roman" w:hAnsi="Times New Roman" w:cs="Times New Roman"/>
          <w:b w:val="0"/>
          <w:noProof/>
          <w:color w:val="000000" w:themeColor="text1"/>
          <w:lang w:eastAsia="ja-JP" w:bidi="ar-SA"/>
        </w:rPr>
      </w:pPr>
      <w:r w:rsidRPr="00EA796A">
        <w:rPr>
          <w:rFonts w:ascii="Times New Roman" w:hAnsi="Times New Roman" w:cs="Times New Roman"/>
          <w:noProof/>
          <w:color w:val="000000" w:themeColor="text1"/>
        </w:rPr>
        <w:t>II.</w:t>
      </w:r>
      <w:r w:rsidRPr="00EA796A">
        <w:rPr>
          <w:rFonts w:ascii="Times New Roman" w:hAnsi="Times New Roman" w:cs="Times New Roman"/>
          <w:b w:val="0"/>
          <w:noProof/>
          <w:color w:val="000000" w:themeColor="text1"/>
          <w:lang w:eastAsia="ja-JP" w:bidi="ar-SA"/>
        </w:rPr>
        <w:tab/>
      </w:r>
      <w:r w:rsidRPr="00EA796A">
        <w:rPr>
          <w:rFonts w:ascii="Times New Roman" w:hAnsi="Times New Roman" w:cs="Times New Roman"/>
          <w:noProof/>
          <w:color w:val="000000" w:themeColor="text1"/>
        </w:rPr>
        <w:t>Index of Authorities</w:t>
      </w:r>
      <w:r w:rsidRPr="00EA796A">
        <w:rPr>
          <w:rFonts w:ascii="Times New Roman" w:hAnsi="Times New Roman" w:cs="Times New Roman"/>
          <w:noProof/>
          <w:color w:val="000000" w:themeColor="text1"/>
        </w:rPr>
        <w:tab/>
      </w:r>
      <w:r w:rsidRPr="00EA796A">
        <w:rPr>
          <w:rFonts w:ascii="Times New Roman" w:hAnsi="Times New Roman" w:cs="Times New Roman"/>
          <w:noProof/>
          <w:color w:val="000000" w:themeColor="text1"/>
        </w:rPr>
        <w:fldChar w:fldCharType="begin"/>
      </w:r>
      <w:r w:rsidRPr="00EA796A">
        <w:rPr>
          <w:rFonts w:ascii="Times New Roman" w:hAnsi="Times New Roman" w:cs="Times New Roman"/>
          <w:noProof/>
          <w:color w:val="000000" w:themeColor="text1"/>
        </w:rPr>
        <w:instrText xml:space="preserve"> PAGEREF _Toc288789544 \h </w:instrText>
      </w:r>
      <w:r w:rsidRPr="00EA796A">
        <w:rPr>
          <w:rFonts w:ascii="Times New Roman" w:hAnsi="Times New Roman" w:cs="Times New Roman"/>
          <w:noProof/>
          <w:color w:val="000000" w:themeColor="text1"/>
        </w:rPr>
      </w:r>
      <w:r w:rsidRPr="00EA796A">
        <w:rPr>
          <w:rFonts w:ascii="Times New Roman" w:hAnsi="Times New Roman" w:cs="Times New Roman"/>
          <w:noProof/>
          <w:color w:val="000000" w:themeColor="text1"/>
        </w:rPr>
        <w:fldChar w:fldCharType="separate"/>
      </w:r>
      <w:r w:rsidRPr="00EA796A">
        <w:rPr>
          <w:rFonts w:ascii="Times New Roman" w:hAnsi="Times New Roman" w:cs="Times New Roman"/>
          <w:noProof/>
          <w:color w:val="000000" w:themeColor="text1"/>
        </w:rPr>
        <w:t>3</w:t>
      </w:r>
      <w:r w:rsidRPr="00EA796A">
        <w:rPr>
          <w:rFonts w:ascii="Times New Roman" w:hAnsi="Times New Roman" w:cs="Times New Roman"/>
          <w:noProof/>
          <w:color w:val="000000" w:themeColor="text1"/>
        </w:rPr>
        <w:fldChar w:fldCharType="end"/>
      </w:r>
    </w:p>
    <w:p w14:paraId="2B367C41" w14:textId="77777777" w:rsidR="00CD1557" w:rsidRPr="00EA796A" w:rsidRDefault="00CD1557">
      <w:pPr>
        <w:pStyle w:val="TOC1"/>
        <w:tabs>
          <w:tab w:val="left" w:pos="580"/>
          <w:tab w:val="right" w:leader="dot" w:pos="9396"/>
        </w:tabs>
        <w:rPr>
          <w:rFonts w:ascii="Times New Roman" w:hAnsi="Times New Roman" w:cs="Times New Roman"/>
          <w:b w:val="0"/>
          <w:noProof/>
          <w:color w:val="000000" w:themeColor="text1"/>
          <w:lang w:eastAsia="ja-JP" w:bidi="ar-SA"/>
        </w:rPr>
      </w:pPr>
      <w:r w:rsidRPr="00EA796A">
        <w:rPr>
          <w:rFonts w:ascii="Times New Roman" w:hAnsi="Times New Roman" w:cs="Times New Roman"/>
          <w:noProof/>
          <w:color w:val="000000" w:themeColor="text1"/>
        </w:rPr>
        <w:t>III.</w:t>
      </w:r>
      <w:r w:rsidRPr="00EA796A">
        <w:rPr>
          <w:rFonts w:ascii="Times New Roman" w:hAnsi="Times New Roman" w:cs="Times New Roman"/>
          <w:b w:val="0"/>
          <w:noProof/>
          <w:color w:val="000000" w:themeColor="text1"/>
          <w:lang w:eastAsia="ja-JP" w:bidi="ar-SA"/>
        </w:rPr>
        <w:tab/>
      </w:r>
      <w:r w:rsidRPr="00EA796A">
        <w:rPr>
          <w:rFonts w:ascii="Times New Roman" w:hAnsi="Times New Roman" w:cs="Times New Roman"/>
          <w:noProof/>
          <w:color w:val="000000" w:themeColor="text1"/>
        </w:rPr>
        <w:t>Statement of Facts</w:t>
      </w:r>
      <w:r w:rsidRPr="00EA796A">
        <w:rPr>
          <w:rFonts w:ascii="Times New Roman" w:hAnsi="Times New Roman" w:cs="Times New Roman"/>
          <w:noProof/>
          <w:color w:val="000000" w:themeColor="text1"/>
        </w:rPr>
        <w:tab/>
      </w:r>
      <w:r w:rsidRPr="00EA796A">
        <w:rPr>
          <w:rFonts w:ascii="Times New Roman" w:hAnsi="Times New Roman" w:cs="Times New Roman"/>
          <w:noProof/>
          <w:color w:val="000000" w:themeColor="text1"/>
        </w:rPr>
        <w:fldChar w:fldCharType="begin"/>
      </w:r>
      <w:r w:rsidRPr="00EA796A">
        <w:rPr>
          <w:rFonts w:ascii="Times New Roman" w:hAnsi="Times New Roman" w:cs="Times New Roman"/>
          <w:noProof/>
          <w:color w:val="000000" w:themeColor="text1"/>
        </w:rPr>
        <w:instrText xml:space="preserve"> PAGEREF _Toc288789545 \h </w:instrText>
      </w:r>
      <w:r w:rsidRPr="00EA796A">
        <w:rPr>
          <w:rFonts w:ascii="Times New Roman" w:hAnsi="Times New Roman" w:cs="Times New Roman"/>
          <w:noProof/>
          <w:color w:val="000000" w:themeColor="text1"/>
        </w:rPr>
      </w:r>
      <w:r w:rsidRPr="00EA796A">
        <w:rPr>
          <w:rFonts w:ascii="Times New Roman" w:hAnsi="Times New Roman" w:cs="Times New Roman"/>
          <w:noProof/>
          <w:color w:val="000000" w:themeColor="text1"/>
        </w:rPr>
        <w:fldChar w:fldCharType="separate"/>
      </w:r>
      <w:r w:rsidRPr="00EA796A">
        <w:rPr>
          <w:rFonts w:ascii="Times New Roman" w:hAnsi="Times New Roman" w:cs="Times New Roman"/>
          <w:noProof/>
          <w:color w:val="000000" w:themeColor="text1"/>
        </w:rPr>
        <w:t>10</w:t>
      </w:r>
      <w:r w:rsidRPr="00EA796A">
        <w:rPr>
          <w:rFonts w:ascii="Times New Roman" w:hAnsi="Times New Roman" w:cs="Times New Roman"/>
          <w:noProof/>
          <w:color w:val="000000" w:themeColor="text1"/>
        </w:rPr>
        <w:fldChar w:fldCharType="end"/>
      </w:r>
    </w:p>
    <w:p w14:paraId="64498FBF" w14:textId="77777777" w:rsidR="00CD1557" w:rsidRPr="00EA796A" w:rsidRDefault="00CD1557">
      <w:pPr>
        <w:pStyle w:val="TOC1"/>
        <w:tabs>
          <w:tab w:val="left" w:pos="567"/>
          <w:tab w:val="right" w:leader="dot" w:pos="9396"/>
        </w:tabs>
        <w:rPr>
          <w:rFonts w:ascii="Times New Roman" w:hAnsi="Times New Roman" w:cs="Times New Roman"/>
          <w:b w:val="0"/>
          <w:noProof/>
          <w:color w:val="000000" w:themeColor="text1"/>
          <w:lang w:eastAsia="ja-JP" w:bidi="ar-SA"/>
        </w:rPr>
      </w:pPr>
      <w:r w:rsidRPr="00EA796A">
        <w:rPr>
          <w:rFonts w:ascii="Times New Roman" w:hAnsi="Times New Roman" w:cs="Times New Roman"/>
          <w:noProof/>
          <w:color w:val="000000" w:themeColor="text1"/>
        </w:rPr>
        <w:t>IV.</w:t>
      </w:r>
      <w:r w:rsidRPr="00EA796A">
        <w:rPr>
          <w:rFonts w:ascii="Times New Roman" w:hAnsi="Times New Roman" w:cs="Times New Roman"/>
          <w:b w:val="0"/>
          <w:noProof/>
          <w:color w:val="000000" w:themeColor="text1"/>
          <w:lang w:eastAsia="ja-JP" w:bidi="ar-SA"/>
        </w:rPr>
        <w:tab/>
      </w:r>
      <w:r w:rsidRPr="00EA796A">
        <w:rPr>
          <w:rFonts w:ascii="Times New Roman" w:hAnsi="Times New Roman" w:cs="Times New Roman"/>
          <w:noProof/>
          <w:color w:val="000000" w:themeColor="text1"/>
        </w:rPr>
        <w:t>Legal analysis</w:t>
      </w:r>
      <w:r w:rsidRPr="00EA796A">
        <w:rPr>
          <w:rFonts w:ascii="Times New Roman" w:hAnsi="Times New Roman" w:cs="Times New Roman"/>
          <w:noProof/>
          <w:color w:val="000000" w:themeColor="text1"/>
        </w:rPr>
        <w:tab/>
      </w:r>
      <w:r w:rsidRPr="00EA796A">
        <w:rPr>
          <w:rFonts w:ascii="Times New Roman" w:hAnsi="Times New Roman" w:cs="Times New Roman"/>
          <w:noProof/>
          <w:color w:val="000000" w:themeColor="text1"/>
        </w:rPr>
        <w:fldChar w:fldCharType="begin"/>
      </w:r>
      <w:r w:rsidRPr="00EA796A">
        <w:rPr>
          <w:rFonts w:ascii="Times New Roman" w:hAnsi="Times New Roman" w:cs="Times New Roman"/>
          <w:noProof/>
          <w:color w:val="000000" w:themeColor="text1"/>
        </w:rPr>
        <w:instrText xml:space="preserve"> PAGEREF _Toc288789546 \h </w:instrText>
      </w:r>
      <w:r w:rsidRPr="00EA796A">
        <w:rPr>
          <w:rFonts w:ascii="Times New Roman" w:hAnsi="Times New Roman" w:cs="Times New Roman"/>
          <w:noProof/>
          <w:color w:val="000000" w:themeColor="text1"/>
        </w:rPr>
      </w:r>
      <w:r w:rsidRPr="00EA796A">
        <w:rPr>
          <w:rFonts w:ascii="Times New Roman" w:hAnsi="Times New Roman" w:cs="Times New Roman"/>
          <w:noProof/>
          <w:color w:val="000000" w:themeColor="text1"/>
        </w:rPr>
        <w:fldChar w:fldCharType="separate"/>
      </w:r>
      <w:r w:rsidRPr="00EA796A">
        <w:rPr>
          <w:rFonts w:ascii="Times New Roman" w:hAnsi="Times New Roman" w:cs="Times New Roman"/>
          <w:noProof/>
          <w:color w:val="000000" w:themeColor="text1"/>
        </w:rPr>
        <w:t>13</w:t>
      </w:r>
      <w:r w:rsidRPr="00EA796A">
        <w:rPr>
          <w:rFonts w:ascii="Times New Roman" w:hAnsi="Times New Roman" w:cs="Times New Roman"/>
          <w:noProof/>
          <w:color w:val="000000" w:themeColor="text1"/>
        </w:rPr>
        <w:fldChar w:fldCharType="end"/>
      </w:r>
    </w:p>
    <w:p w14:paraId="751C6CD2" w14:textId="77777777" w:rsidR="00CD1557" w:rsidRPr="00EA796A" w:rsidRDefault="00CD1557">
      <w:pPr>
        <w:pStyle w:val="TOC2"/>
        <w:tabs>
          <w:tab w:val="left" w:pos="454"/>
          <w:tab w:val="right" w:leader="dot" w:pos="9396"/>
        </w:tabs>
        <w:rPr>
          <w:rFonts w:ascii="Times New Roman" w:hAnsi="Times New Roman" w:cs="Times New Roman"/>
          <w:b w:val="0"/>
          <w:noProof/>
          <w:color w:val="000000" w:themeColor="text1"/>
          <w:sz w:val="24"/>
          <w:szCs w:val="24"/>
          <w:lang w:eastAsia="ja-JP" w:bidi="ar-SA"/>
        </w:rPr>
      </w:pPr>
      <w:r w:rsidRPr="00EA796A">
        <w:rPr>
          <w:rFonts w:ascii="Times New Roman" w:hAnsi="Times New Roman" w:cs="Times New Roman"/>
          <w:noProof/>
          <w:color w:val="000000" w:themeColor="text1"/>
          <w:sz w:val="24"/>
          <w:szCs w:val="24"/>
        </w:rPr>
        <w:t>A.</w:t>
      </w:r>
      <w:r w:rsidRPr="00EA796A">
        <w:rPr>
          <w:rFonts w:ascii="Times New Roman" w:hAnsi="Times New Roman" w:cs="Times New Roman"/>
          <w:b w:val="0"/>
          <w:noProof/>
          <w:color w:val="000000" w:themeColor="text1"/>
          <w:sz w:val="24"/>
          <w:szCs w:val="24"/>
          <w:lang w:eastAsia="ja-JP" w:bidi="ar-SA"/>
        </w:rPr>
        <w:tab/>
      </w:r>
      <w:r w:rsidRPr="00EA796A">
        <w:rPr>
          <w:rFonts w:ascii="Times New Roman" w:hAnsi="Times New Roman" w:cs="Times New Roman"/>
          <w:noProof/>
          <w:color w:val="000000" w:themeColor="text1"/>
          <w:sz w:val="24"/>
          <w:szCs w:val="24"/>
        </w:rPr>
        <w:t>Jurisdiction</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_Toc288789547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13</w:t>
      </w:r>
      <w:r w:rsidRPr="00EA796A">
        <w:rPr>
          <w:rFonts w:ascii="Times New Roman" w:hAnsi="Times New Roman" w:cs="Times New Roman"/>
          <w:noProof/>
          <w:color w:val="000000" w:themeColor="text1"/>
          <w:sz w:val="24"/>
          <w:szCs w:val="24"/>
        </w:rPr>
        <w:fldChar w:fldCharType="end"/>
      </w:r>
    </w:p>
    <w:p w14:paraId="5E87BDB5" w14:textId="77777777" w:rsidR="00CD1557" w:rsidRPr="00EA796A" w:rsidRDefault="00CD1557">
      <w:pPr>
        <w:pStyle w:val="TOC2"/>
        <w:tabs>
          <w:tab w:val="left" w:pos="442"/>
          <w:tab w:val="right" w:leader="dot" w:pos="9396"/>
        </w:tabs>
        <w:rPr>
          <w:rFonts w:ascii="Times New Roman" w:hAnsi="Times New Roman" w:cs="Times New Roman"/>
          <w:b w:val="0"/>
          <w:noProof/>
          <w:color w:val="000000" w:themeColor="text1"/>
          <w:sz w:val="24"/>
          <w:szCs w:val="24"/>
          <w:lang w:eastAsia="ja-JP" w:bidi="ar-SA"/>
        </w:rPr>
      </w:pPr>
      <w:r w:rsidRPr="00EA796A">
        <w:rPr>
          <w:rFonts w:ascii="Times New Roman" w:hAnsi="Times New Roman" w:cs="Times New Roman"/>
          <w:noProof/>
          <w:color w:val="000000" w:themeColor="text1"/>
          <w:sz w:val="24"/>
          <w:szCs w:val="24"/>
          <w:lang w:val="en-US"/>
        </w:rPr>
        <w:t>B.</w:t>
      </w:r>
      <w:r w:rsidRPr="00EA796A">
        <w:rPr>
          <w:rFonts w:ascii="Times New Roman" w:hAnsi="Times New Roman" w:cs="Times New Roman"/>
          <w:b w:val="0"/>
          <w:noProof/>
          <w:color w:val="000000" w:themeColor="text1"/>
          <w:sz w:val="24"/>
          <w:szCs w:val="24"/>
          <w:lang w:eastAsia="ja-JP" w:bidi="ar-SA"/>
        </w:rPr>
        <w:tab/>
      </w:r>
      <w:r w:rsidRPr="00EA796A">
        <w:rPr>
          <w:rFonts w:ascii="Times New Roman" w:hAnsi="Times New Roman" w:cs="Times New Roman"/>
          <w:noProof/>
          <w:color w:val="000000" w:themeColor="text1"/>
          <w:sz w:val="24"/>
          <w:szCs w:val="24"/>
          <w:lang w:val="en-US"/>
        </w:rPr>
        <w:t>Preliminary Objections</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_Toc288789548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14</w:t>
      </w:r>
      <w:r w:rsidRPr="00EA796A">
        <w:rPr>
          <w:rFonts w:ascii="Times New Roman" w:hAnsi="Times New Roman" w:cs="Times New Roman"/>
          <w:noProof/>
          <w:color w:val="000000" w:themeColor="text1"/>
          <w:sz w:val="24"/>
          <w:szCs w:val="24"/>
        </w:rPr>
        <w:fldChar w:fldCharType="end"/>
      </w:r>
    </w:p>
    <w:p w14:paraId="1885A7B1" w14:textId="40FB740A" w:rsidR="00CD1557" w:rsidRPr="00EA796A" w:rsidRDefault="00CD1557">
      <w:pPr>
        <w:pStyle w:val="TOC3"/>
        <w:tabs>
          <w:tab w:val="left" w:pos="407"/>
          <w:tab w:val="right" w:leader="dot" w:pos="9396"/>
        </w:tabs>
        <w:rPr>
          <w:rFonts w:ascii="Times New Roman" w:hAnsi="Times New Roman" w:cs="Times New Roman"/>
          <w:noProof/>
          <w:color w:val="000000" w:themeColor="text1"/>
          <w:sz w:val="24"/>
          <w:szCs w:val="24"/>
          <w:lang w:eastAsia="ja-JP" w:bidi="ar-SA"/>
        </w:rPr>
      </w:pPr>
      <w:r w:rsidRPr="00EA796A">
        <w:rPr>
          <w:rFonts w:ascii="Times New Roman" w:hAnsi="Times New Roman" w:cs="Times New Roman"/>
          <w:noProof/>
          <w:color w:val="000000" w:themeColor="text1"/>
          <w:sz w:val="24"/>
          <w:szCs w:val="24"/>
        </w:rPr>
        <w:t>1.</w:t>
      </w:r>
      <w:r w:rsidRPr="00EA796A">
        <w:rPr>
          <w:rFonts w:ascii="Times New Roman" w:hAnsi="Times New Roman" w:cs="Times New Roman"/>
          <w:noProof/>
          <w:color w:val="000000" w:themeColor="text1"/>
          <w:sz w:val="24"/>
          <w:szCs w:val="24"/>
          <w:lang w:eastAsia="ja-JP" w:bidi="ar-SA"/>
        </w:rPr>
        <w:tab/>
      </w:r>
      <w:r w:rsidRPr="00EA796A">
        <w:rPr>
          <w:rFonts w:ascii="Times New Roman" w:hAnsi="Times New Roman" w:cs="Times New Roman"/>
          <w:noProof/>
          <w:color w:val="000000" w:themeColor="text1"/>
          <w:sz w:val="24"/>
          <w:szCs w:val="24"/>
        </w:rPr>
        <w:t>The petitioners failed to exhaust the domestic remedies (Art. 46(1)(a), 46(2) and 47(a) ACHR)</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_Toc288789549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14</w:t>
      </w:r>
      <w:r w:rsidRPr="00EA796A">
        <w:rPr>
          <w:rFonts w:ascii="Times New Roman" w:hAnsi="Times New Roman" w:cs="Times New Roman"/>
          <w:noProof/>
          <w:color w:val="000000" w:themeColor="text1"/>
          <w:sz w:val="24"/>
          <w:szCs w:val="24"/>
        </w:rPr>
        <w:fldChar w:fldCharType="end"/>
      </w:r>
    </w:p>
    <w:p w14:paraId="5A7EEA18" w14:textId="77777777" w:rsidR="00CD1557" w:rsidRPr="00EA796A" w:rsidRDefault="00CD1557" w:rsidP="00CD1557">
      <w:pPr>
        <w:pStyle w:val="TOC3"/>
        <w:tabs>
          <w:tab w:val="left" w:pos="407"/>
          <w:tab w:val="right" w:leader="dot" w:pos="9396"/>
        </w:tabs>
        <w:ind w:left="284" w:hanging="284"/>
        <w:rPr>
          <w:rFonts w:ascii="Times New Roman" w:hAnsi="Times New Roman" w:cs="Times New Roman"/>
          <w:noProof/>
          <w:color w:val="000000" w:themeColor="text1"/>
          <w:sz w:val="24"/>
          <w:szCs w:val="24"/>
          <w:lang w:eastAsia="ja-JP" w:bidi="ar-SA"/>
        </w:rPr>
      </w:pPr>
      <w:r w:rsidRPr="00EA796A">
        <w:rPr>
          <w:rFonts w:ascii="Times New Roman" w:hAnsi="Times New Roman" w:cs="Times New Roman"/>
          <w:noProof/>
          <w:color w:val="000000" w:themeColor="text1"/>
          <w:sz w:val="24"/>
          <w:szCs w:val="24"/>
        </w:rPr>
        <w:t>2.</w:t>
      </w:r>
      <w:r w:rsidRPr="00EA796A">
        <w:rPr>
          <w:rFonts w:ascii="Times New Roman" w:hAnsi="Times New Roman" w:cs="Times New Roman"/>
          <w:noProof/>
          <w:color w:val="000000" w:themeColor="text1"/>
          <w:sz w:val="24"/>
          <w:szCs w:val="24"/>
          <w:lang w:eastAsia="ja-JP" w:bidi="ar-SA"/>
        </w:rPr>
        <w:tab/>
      </w:r>
      <w:r w:rsidRPr="00EA796A">
        <w:rPr>
          <w:rFonts w:ascii="Times New Roman" w:hAnsi="Times New Roman" w:cs="Times New Roman"/>
          <w:noProof/>
          <w:color w:val="000000" w:themeColor="text1"/>
          <w:sz w:val="24"/>
          <w:szCs w:val="24"/>
        </w:rPr>
        <w:t>Mrs. Bolt did not properly exhaust the domestic remedies in accordance with the generally recognized principles of international law (Art. 46(1)(a) and 47 ACHR)</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_Toc288789550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16</w:t>
      </w:r>
      <w:r w:rsidRPr="00EA796A">
        <w:rPr>
          <w:rFonts w:ascii="Times New Roman" w:hAnsi="Times New Roman" w:cs="Times New Roman"/>
          <w:noProof/>
          <w:color w:val="000000" w:themeColor="text1"/>
          <w:sz w:val="24"/>
          <w:szCs w:val="24"/>
        </w:rPr>
        <w:fldChar w:fldCharType="end"/>
      </w:r>
    </w:p>
    <w:p w14:paraId="51E78EC8" w14:textId="77777777" w:rsidR="00CD1557" w:rsidRPr="00EA796A" w:rsidRDefault="00CD1557" w:rsidP="00CD1557">
      <w:pPr>
        <w:pStyle w:val="TOC3"/>
        <w:tabs>
          <w:tab w:val="left" w:pos="407"/>
          <w:tab w:val="right" w:leader="dot" w:pos="9396"/>
        </w:tabs>
        <w:ind w:left="284" w:hanging="284"/>
        <w:rPr>
          <w:rFonts w:ascii="Times New Roman" w:hAnsi="Times New Roman" w:cs="Times New Roman"/>
          <w:noProof/>
          <w:color w:val="000000" w:themeColor="text1"/>
          <w:sz w:val="24"/>
          <w:szCs w:val="24"/>
          <w:lang w:eastAsia="ja-JP" w:bidi="ar-SA"/>
        </w:rPr>
      </w:pPr>
      <w:r w:rsidRPr="00EA796A">
        <w:rPr>
          <w:rFonts w:ascii="Times New Roman" w:hAnsi="Times New Roman" w:cs="Times New Roman"/>
          <w:noProof/>
          <w:color w:val="000000" w:themeColor="text1"/>
          <w:sz w:val="24"/>
          <w:szCs w:val="24"/>
        </w:rPr>
        <w:t>3.</w:t>
      </w:r>
      <w:r w:rsidRPr="00EA796A">
        <w:rPr>
          <w:rFonts w:ascii="Times New Roman" w:hAnsi="Times New Roman" w:cs="Times New Roman"/>
          <w:noProof/>
          <w:color w:val="000000" w:themeColor="text1"/>
          <w:sz w:val="24"/>
          <w:szCs w:val="24"/>
          <w:lang w:eastAsia="ja-JP" w:bidi="ar-SA"/>
        </w:rPr>
        <w:tab/>
      </w:r>
      <w:r w:rsidRPr="00EA796A">
        <w:rPr>
          <w:rFonts w:ascii="Times New Roman" w:hAnsi="Times New Roman" w:cs="Times New Roman"/>
          <w:noProof/>
          <w:color w:val="000000" w:themeColor="text1"/>
          <w:sz w:val="24"/>
          <w:szCs w:val="24"/>
        </w:rPr>
        <w:t>The Commission violated the State’s right to defense (Art. 31(1) Rules of Procedure of the Commission)</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_Toc288789551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17</w:t>
      </w:r>
      <w:r w:rsidRPr="00EA796A">
        <w:rPr>
          <w:rFonts w:ascii="Times New Roman" w:hAnsi="Times New Roman" w:cs="Times New Roman"/>
          <w:noProof/>
          <w:color w:val="000000" w:themeColor="text1"/>
          <w:sz w:val="24"/>
          <w:szCs w:val="24"/>
        </w:rPr>
        <w:fldChar w:fldCharType="end"/>
      </w:r>
    </w:p>
    <w:p w14:paraId="3B5D765C" w14:textId="77777777" w:rsidR="00CD1557" w:rsidRPr="00EA796A" w:rsidRDefault="00CD1557">
      <w:pPr>
        <w:pStyle w:val="TOC2"/>
        <w:tabs>
          <w:tab w:val="left" w:pos="454"/>
          <w:tab w:val="right" w:leader="dot" w:pos="9396"/>
        </w:tabs>
        <w:rPr>
          <w:rFonts w:ascii="Times New Roman" w:hAnsi="Times New Roman" w:cs="Times New Roman"/>
          <w:b w:val="0"/>
          <w:noProof/>
          <w:color w:val="000000" w:themeColor="text1"/>
          <w:sz w:val="24"/>
          <w:szCs w:val="24"/>
          <w:lang w:eastAsia="ja-JP" w:bidi="ar-SA"/>
        </w:rPr>
      </w:pPr>
      <w:r w:rsidRPr="00EA796A">
        <w:rPr>
          <w:rFonts w:ascii="Times New Roman" w:hAnsi="Times New Roman" w:cs="Times New Roman"/>
          <w:noProof/>
          <w:color w:val="000000" w:themeColor="text1"/>
          <w:sz w:val="24"/>
          <w:szCs w:val="24"/>
          <w:lang w:val="en-GB"/>
        </w:rPr>
        <w:t>C.</w:t>
      </w:r>
      <w:r w:rsidRPr="00EA796A">
        <w:rPr>
          <w:rFonts w:ascii="Times New Roman" w:hAnsi="Times New Roman" w:cs="Times New Roman"/>
          <w:b w:val="0"/>
          <w:noProof/>
          <w:color w:val="000000" w:themeColor="text1"/>
          <w:sz w:val="24"/>
          <w:szCs w:val="24"/>
          <w:lang w:eastAsia="ja-JP" w:bidi="ar-SA"/>
        </w:rPr>
        <w:tab/>
      </w:r>
      <w:r w:rsidRPr="00EA796A">
        <w:rPr>
          <w:rFonts w:ascii="Times New Roman" w:hAnsi="Times New Roman" w:cs="Times New Roman"/>
          <w:noProof/>
          <w:color w:val="000000" w:themeColor="text1"/>
          <w:sz w:val="24"/>
          <w:szCs w:val="24"/>
          <w:lang w:val="en-GB"/>
        </w:rPr>
        <w:t>Alleged Violations</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_Toc288789552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19</w:t>
      </w:r>
      <w:r w:rsidRPr="00EA796A">
        <w:rPr>
          <w:rFonts w:ascii="Times New Roman" w:hAnsi="Times New Roman" w:cs="Times New Roman"/>
          <w:noProof/>
          <w:color w:val="000000" w:themeColor="text1"/>
          <w:sz w:val="24"/>
          <w:szCs w:val="24"/>
        </w:rPr>
        <w:fldChar w:fldCharType="end"/>
      </w:r>
    </w:p>
    <w:p w14:paraId="0B9269E3" w14:textId="77777777" w:rsidR="00CD1557" w:rsidRPr="00EA796A" w:rsidRDefault="00CD1557">
      <w:pPr>
        <w:pStyle w:val="TOC3"/>
        <w:tabs>
          <w:tab w:val="left" w:pos="407"/>
          <w:tab w:val="right" w:leader="dot" w:pos="9396"/>
        </w:tabs>
        <w:rPr>
          <w:rFonts w:ascii="Times New Roman" w:hAnsi="Times New Roman" w:cs="Times New Roman"/>
          <w:noProof/>
          <w:color w:val="000000" w:themeColor="text1"/>
          <w:sz w:val="24"/>
          <w:szCs w:val="24"/>
          <w:lang w:eastAsia="ja-JP" w:bidi="ar-SA"/>
        </w:rPr>
      </w:pPr>
      <w:r w:rsidRPr="00EA796A">
        <w:rPr>
          <w:rFonts w:ascii="Times New Roman" w:hAnsi="Times New Roman" w:cs="Times New Roman"/>
          <w:noProof/>
          <w:color w:val="000000" w:themeColor="text1"/>
          <w:sz w:val="24"/>
          <w:szCs w:val="24"/>
        </w:rPr>
        <w:t>1.</w:t>
      </w:r>
      <w:r w:rsidRPr="00EA796A">
        <w:rPr>
          <w:rFonts w:ascii="Times New Roman" w:hAnsi="Times New Roman" w:cs="Times New Roman"/>
          <w:noProof/>
          <w:color w:val="000000" w:themeColor="text1"/>
          <w:sz w:val="24"/>
          <w:szCs w:val="24"/>
          <w:lang w:eastAsia="ja-JP" w:bidi="ar-SA"/>
        </w:rPr>
        <w:tab/>
      </w:r>
      <w:r w:rsidRPr="00EA796A">
        <w:rPr>
          <w:rFonts w:ascii="Times New Roman" w:hAnsi="Times New Roman" w:cs="Times New Roman"/>
          <w:noProof/>
          <w:color w:val="000000" w:themeColor="text1"/>
          <w:sz w:val="24"/>
          <w:szCs w:val="24"/>
        </w:rPr>
        <w:t>The ACRL did not violate Art. 8 and 25 ACHR</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_Toc288789553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19</w:t>
      </w:r>
      <w:r w:rsidRPr="00EA796A">
        <w:rPr>
          <w:rFonts w:ascii="Times New Roman" w:hAnsi="Times New Roman" w:cs="Times New Roman"/>
          <w:noProof/>
          <w:color w:val="000000" w:themeColor="text1"/>
          <w:sz w:val="24"/>
          <w:szCs w:val="24"/>
        </w:rPr>
        <w:fldChar w:fldCharType="end"/>
      </w:r>
    </w:p>
    <w:p w14:paraId="0AF4E15D" w14:textId="77777777" w:rsidR="00CD1557" w:rsidRPr="00EA796A" w:rsidRDefault="00CD1557" w:rsidP="00CD1557">
      <w:pPr>
        <w:pStyle w:val="TOC3"/>
        <w:tabs>
          <w:tab w:val="left" w:pos="407"/>
          <w:tab w:val="right" w:leader="dot" w:pos="9396"/>
        </w:tabs>
        <w:ind w:left="284" w:hanging="284"/>
        <w:rPr>
          <w:rFonts w:ascii="Times New Roman" w:hAnsi="Times New Roman" w:cs="Times New Roman"/>
          <w:noProof/>
          <w:color w:val="000000" w:themeColor="text1"/>
          <w:sz w:val="24"/>
          <w:szCs w:val="24"/>
          <w:lang w:eastAsia="ja-JP" w:bidi="ar-SA"/>
        </w:rPr>
      </w:pPr>
      <w:r w:rsidRPr="00EA796A">
        <w:rPr>
          <w:rFonts w:ascii="Times New Roman" w:hAnsi="Times New Roman" w:cs="Times New Roman"/>
          <w:noProof/>
          <w:color w:val="000000" w:themeColor="text1"/>
          <w:sz w:val="24"/>
          <w:szCs w:val="24"/>
        </w:rPr>
        <w:t>2.</w:t>
      </w:r>
      <w:r w:rsidRPr="00EA796A">
        <w:rPr>
          <w:rFonts w:ascii="Times New Roman" w:hAnsi="Times New Roman" w:cs="Times New Roman"/>
          <w:noProof/>
          <w:color w:val="000000" w:themeColor="text1"/>
          <w:sz w:val="24"/>
          <w:szCs w:val="24"/>
          <w:lang w:eastAsia="ja-JP" w:bidi="ar-SA"/>
        </w:rPr>
        <w:tab/>
      </w:r>
      <w:r w:rsidRPr="00EA796A">
        <w:rPr>
          <w:rFonts w:ascii="Times New Roman" w:hAnsi="Times New Roman" w:cs="Times New Roman"/>
          <w:noProof/>
          <w:color w:val="000000" w:themeColor="text1"/>
          <w:sz w:val="24"/>
          <w:szCs w:val="24"/>
        </w:rPr>
        <w:t>There is no state responsibility for the violations alleged by Mrs. Bolt, Mr. and Ms. Rossi and Mrs. López</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_Toc288789554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22</w:t>
      </w:r>
      <w:r w:rsidRPr="00EA796A">
        <w:rPr>
          <w:rFonts w:ascii="Times New Roman" w:hAnsi="Times New Roman" w:cs="Times New Roman"/>
          <w:noProof/>
          <w:color w:val="000000" w:themeColor="text1"/>
          <w:sz w:val="24"/>
          <w:szCs w:val="24"/>
        </w:rPr>
        <w:fldChar w:fldCharType="end"/>
      </w:r>
    </w:p>
    <w:p w14:paraId="6F767397" w14:textId="77777777" w:rsidR="00CD1557" w:rsidRPr="00EA796A" w:rsidRDefault="00CD1557">
      <w:pPr>
        <w:pStyle w:val="TOC4"/>
        <w:rPr>
          <w:rFonts w:ascii="Times New Roman" w:hAnsi="Times New Roman" w:cs="Times New Roman"/>
          <w:noProof/>
          <w:color w:val="000000" w:themeColor="text1"/>
          <w:sz w:val="24"/>
          <w:szCs w:val="24"/>
          <w:lang w:eastAsia="ja-JP" w:bidi="ar-SA"/>
        </w:rPr>
      </w:pPr>
      <w:r w:rsidRPr="00EA796A">
        <w:rPr>
          <w:rFonts w:ascii="Times New Roman" w:hAnsi="Times New Roman" w:cs="Times New Roman"/>
          <w:noProof/>
          <w:color w:val="000000" w:themeColor="text1"/>
          <w:sz w:val="24"/>
          <w:szCs w:val="24"/>
        </w:rPr>
        <w:t>2.1 There is no state responsibility for the alleged forced disappearance of Mr. Bolt (Art. 3, 4, 5, 7 j° 1(1) and 2 ACHR)</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_Toc288789555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22</w:t>
      </w:r>
      <w:r w:rsidRPr="00EA796A">
        <w:rPr>
          <w:rFonts w:ascii="Times New Roman" w:hAnsi="Times New Roman" w:cs="Times New Roman"/>
          <w:noProof/>
          <w:color w:val="000000" w:themeColor="text1"/>
          <w:sz w:val="24"/>
          <w:szCs w:val="24"/>
        </w:rPr>
        <w:fldChar w:fldCharType="end"/>
      </w:r>
    </w:p>
    <w:p w14:paraId="2E3D5AA6" w14:textId="77777777" w:rsidR="00CD1557" w:rsidRPr="00EA796A" w:rsidRDefault="00CD1557">
      <w:pPr>
        <w:pStyle w:val="TOC5"/>
        <w:tabs>
          <w:tab w:val="left" w:pos="901"/>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rPr>
        <w:t>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rPr>
        <w:t>There was no forced disappearance with respect to Mr. Bolt</w:t>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_Toc288789556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22</w:t>
      </w:r>
      <w:r w:rsidRPr="00EA796A">
        <w:rPr>
          <w:rFonts w:ascii="Times New Roman" w:hAnsi="Times New Roman" w:cs="Times New Roman"/>
          <w:color w:val="000000" w:themeColor="text1"/>
          <w:sz w:val="24"/>
          <w:szCs w:val="24"/>
        </w:rPr>
        <w:fldChar w:fldCharType="end"/>
      </w:r>
    </w:p>
    <w:p w14:paraId="02CB5046" w14:textId="5EB326B2" w:rsidR="00CD1557" w:rsidRPr="00EA796A" w:rsidRDefault="00CD1557">
      <w:pPr>
        <w:pStyle w:val="TOC5"/>
        <w:tabs>
          <w:tab w:val="left" w:pos="955"/>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rPr>
        <w:t>ii.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rPr>
        <w:t>The State fulfilled its positive obligations regarding the alleged disappearance of Mr. Bolt</w:t>
      </w:r>
      <w:r w:rsidR="003A1201"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_Toc288789557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25</w:t>
      </w:r>
      <w:r w:rsidRPr="00EA796A">
        <w:rPr>
          <w:rFonts w:ascii="Times New Roman" w:hAnsi="Times New Roman" w:cs="Times New Roman"/>
          <w:color w:val="000000" w:themeColor="text1"/>
          <w:sz w:val="24"/>
          <w:szCs w:val="24"/>
        </w:rPr>
        <w:fldChar w:fldCharType="end"/>
      </w:r>
    </w:p>
    <w:p w14:paraId="4CD34939" w14:textId="77777777" w:rsidR="00CD1557" w:rsidRPr="00EA796A" w:rsidRDefault="00CD1557">
      <w:pPr>
        <w:pStyle w:val="TOC5"/>
        <w:tabs>
          <w:tab w:val="left" w:pos="1009"/>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lang w:val="en-US"/>
        </w:rPr>
        <w:t>iii.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lang w:val="en-US"/>
        </w:rPr>
        <w:t>The State provided adequate reparations for Mrs. Bolt</w:t>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_Toc288789558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26</w:t>
      </w:r>
      <w:r w:rsidRPr="00EA796A">
        <w:rPr>
          <w:rFonts w:ascii="Times New Roman" w:hAnsi="Times New Roman" w:cs="Times New Roman"/>
          <w:color w:val="000000" w:themeColor="text1"/>
          <w:sz w:val="24"/>
          <w:szCs w:val="24"/>
        </w:rPr>
        <w:fldChar w:fldCharType="end"/>
      </w:r>
    </w:p>
    <w:p w14:paraId="60ACE799" w14:textId="77777777" w:rsidR="00CD1557" w:rsidRPr="00EA796A" w:rsidRDefault="00CD1557">
      <w:pPr>
        <w:pStyle w:val="TOC4"/>
        <w:rPr>
          <w:rFonts w:ascii="Times New Roman" w:hAnsi="Times New Roman" w:cs="Times New Roman"/>
          <w:noProof/>
          <w:color w:val="000000" w:themeColor="text1"/>
          <w:sz w:val="24"/>
          <w:szCs w:val="24"/>
          <w:lang w:eastAsia="ja-JP" w:bidi="ar-SA"/>
        </w:rPr>
      </w:pPr>
      <w:r w:rsidRPr="00EA796A">
        <w:rPr>
          <w:rFonts w:ascii="Times New Roman" w:hAnsi="Times New Roman" w:cs="Times New Roman"/>
          <w:noProof/>
          <w:color w:val="000000" w:themeColor="text1"/>
          <w:sz w:val="24"/>
          <w:szCs w:val="24"/>
        </w:rPr>
        <w:lastRenderedPageBreak/>
        <w:t>2.2 There is no state responsibility for the attacks on the Boneca as alleged by Mrs. Bolt (Art. 24 j° 1(1) and 2 ACHR)</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_Toc288789559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27</w:t>
      </w:r>
      <w:r w:rsidRPr="00EA796A">
        <w:rPr>
          <w:rFonts w:ascii="Times New Roman" w:hAnsi="Times New Roman" w:cs="Times New Roman"/>
          <w:noProof/>
          <w:color w:val="000000" w:themeColor="text1"/>
          <w:sz w:val="24"/>
          <w:szCs w:val="24"/>
        </w:rPr>
        <w:fldChar w:fldCharType="end"/>
      </w:r>
    </w:p>
    <w:p w14:paraId="643DCBE5" w14:textId="77777777" w:rsidR="00CD1557" w:rsidRPr="00EA796A" w:rsidRDefault="00CD1557">
      <w:pPr>
        <w:pStyle w:val="TOC5"/>
        <w:tabs>
          <w:tab w:val="left" w:pos="901"/>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rPr>
        <w:t>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rPr>
        <w:t>The State is not responsible for the attacks on the Boneca</w:t>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_Toc288789560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27</w:t>
      </w:r>
      <w:r w:rsidRPr="00EA796A">
        <w:rPr>
          <w:rFonts w:ascii="Times New Roman" w:hAnsi="Times New Roman" w:cs="Times New Roman"/>
          <w:color w:val="000000" w:themeColor="text1"/>
          <w:sz w:val="24"/>
          <w:szCs w:val="24"/>
        </w:rPr>
        <w:fldChar w:fldCharType="end"/>
      </w:r>
    </w:p>
    <w:p w14:paraId="31C3FEF0" w14:textId="77777777" w:rsidR="00CD1557" w:rsidRPr="00EA796A" w:rsidRDefault="00CD1557">
      <w:pPr>
        <w:pStyle w:val="TOC5"/>
        <w:tabs>
          <w:tab w:val="left" w:pos="955"/>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rPr>
        <w:t>ii.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rPr>
        <w:t>The State fulfilled its positive obligations regarding the Boneca</w:t>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_Toc288789561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28</w:t>
      </w:r>
      <w:r w:rsidRPr="00EA796A">
        <w:rPr>
          <w:rFonts w:ascii="Times New Roman" w:hAnsi="Times New Roman" w:cs="Times New Roman"/>
          <w:color w:val="000000" w:themeColor="text1"/>
          <w:sz w:val="24"/>
          <w:szCs w:val="24"/>
        </w:rPr>
        <w:fldChar w:fldCharType="end"/>
      </w:r>
    </w:p>
    <w:p w14:paraId="4718027F" w14:textId="77777777" w:rsidR="00CD1557" w:rsidRPr="00EA796A" w:rsidRDefault="00CD1557">
      <w:pPr>
        <w:pStyle w:val="TOC5"/>
        <w:tabs>
          <w:tab w:val="left" w:pos="1009"/>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rPr>
        <w:t>iii.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rPr>
        <w:t>The State provided adequate reparations for the Boneca</w:t>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_Toc288789562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28</w:t>
      </w:r>
      <w:r w:rsidRPr="00EA796A">
        <w:rPr>
          <w:rFonts w:ascii="Times New Roman" w:hAnsi="Times New Roman" w:cs="Times New Roman"/>
          <w:color w:val="000000" w:themeColor="text1"/>
          <w:sz w:val="24"/>
          <w:szCs w:val="24"/>
        </w:rPr>
        <w:fldChar w:fldCharType="end"/>
      </w:r>
    </w:p>
    <w:p w14:paraId="7F249CA6" w14:textId="77777777" w:rsidR="00CD1557" w:rsidRPr="00EA796A" w:rsidRDefault="00CD1557">
      <w:pPr>
        <w:pStyle w:val="TOC4"/>
        <w:rPr>
          <w:rFonts w:ascii="Times New Roman" w:hAnsi="Times New Roman" w:cs="Times New Roman"/>
          <w:noProof/>
          <w:color w:val="000000" w:themeColor="text1"/>
          <w:sz w:val="24"/>
          <w:szCs w:val="24"/>
          <w:lang w:eastAsia="ja-JP" w:bidi="ar-SA"/>
        </w:rPr>
      </w:pPr>
      <w:r w:rsidRPr="00EA796A">
        <w:rPr>
          <w:rFonts w:ascii="Times New Roman" w:hAnsi="Times New Roman" w:cs="Times New Roman"/>
          <w:noProof/>
          <w:color w:val="000000" w:themeColor="text1"/>
          <w:sz w:val="24"/>
          <w:szCs w:val="24"/>
        </w:rPr>
        <w:t>2.3 There is no state responsibility for the death of Ms. Rossi (Art. 4, 5 j° 1(1) and 2 ACHR)</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_Toc288789563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30</w:t>
      </w:r>
      <w:r w:rsidRPr="00EA796A">
        <w:rPr>
          <w:rFonts w:ascii="Times New Roman" w:hAnsi="Times New Roman" w:cs="Times New Roman"/>
          <w:noProof/>
          <w:color w:val="000000" w:themeColor="text1"/>
          <w:sz w:val="24"/>
          <w:szCs w:val="24"/>
        </w:rPr>
        <w:fldChar w:fldCharType="end"/>
      </w:r>
    </w:p>
    <w:p w14:paraId="3A9A7654" w14:textId="77777777" w:rsidR="00CD1557" w:rsidRPr="00EA796A" w:rsidRDefault="00CD1557">
      <w:pPr>
        <w:pStyle w:val="TOC5"/>
        <w:tabs>
          <w:tab w:val="left" w:pos="901"/>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rPr>
        <w:t>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rPr>
        <w:t>The State is not responsible for the death of Ms. Rossi</w:t>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_Toc288789564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30</w:t>
      </w:r>
      <w:r w:rsidRPr="00EA796A">
        <w:rPr>
          <w:rFonts w:ascii="Times New Roman" w:hAnsi="Times New Roman" w:cs="Times New Roman"/>
          <w:color w:val="000000" w:themeColor="text1"/>
          <w:sz w:val="24"/>
          <w:szCs w:val="24"/>
        </w:rPr>
        <w:fldChar w:fldCharType="end"/>
      </w:r>
    </w:p>
    <w:p w14:paraId="52BA4F41" w14:textId="77777777" w:rsidR="00CD1557" w:rsidRPr="00EA796A" w:rsidRDefault="00CD1557">
      <w:pPr>
        <w:pStyle w:val="TOC5"/>
        <w:tabs>
          <w:tab w:val="left" w:pos="955"/>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rPr>
        <w:t>ii.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rPr>
        <w:t>The State fulfilled its positive obligations regarding the death of Ms. Rossi</w:t>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_Toc288789565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31</w:t>
      </w:r>
      <w:r w:rsidRPr="00EA796A">
        <w:rPr>
          <w:rFonts w:ascii="Times New Roman" w:hAnsi="Times New Roman" w:cs="Times New Roman"/>
          <w:color w:val="000000" w:themeColor="text1"/>
          <w:sz w:val="24"/>
          <w:szCs w:val="24"/>
        </w:rPr>
        <w:fldChar w:fldCharType="end"/>
      </w:r>
    </w:p>
    <w:p w14:paraId="507F492E" w14:textId="77777777" w:rsidR="00CD1557" w:rsidRPr="00EA796A" w:rsidRDefault="00CD1557">
      <w:pPr>
        <w:pStyle w:val="TOC5"/>
        <w:tabs>
          <w:tab w:val="left" w:pos="1009"/>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rPr>
        <w:t>iii.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rPr>
        <w:t>The State provided adequate reparations for Mr. and Ms. Rossi.</w:t>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_Toc288789566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32</w:t>
      </w:r>
      <w:r w:rsidRPr="00EA796A">
        <w:rPr>
          <w:rFonts w:ascii="Times New Roman" w:hAnsi="Times New Roman" w:cs="Times New Roman"/>
          <w:color w:val="000000" w:themeColor="text1"/>
          <w:sz w:val="24"/>
          <w:szCs w:val="24"/>
        </w:rPr>
        <w:fldChar w:fldCharType="end"/>
      </w:r>
    </w:p>
    <w:p w14:paraId="3E273803" w14:textId="77777777" w:rsidR="00CD1557" w:rsidRPr="00EA796A" w:rsidRDefault="00CD1557">
      <w:pPr>
        <w:pStyle w:val="TOC4"/>
        <w:rPr>
          <w:rFonts w:ascii="Times New Roman" w:hAnsi="Times New Roman" w:cs="Times New Roman"/>
          <w:noProof/>
          <w:color w:val="000000" w:themeColor="text1"/>
          <w:sz w:val="24"/>
          <w:szCs w:val="24"/>
          <w:lang w:eastAsia="ja-JP" w:bidi="ar-SA"/>
        </w:rPr>
      </w:pPr>
      <w:r w:rsidRPr="00EA796A">
        <w:rPr>
          <w:rFonts w:ascii="Times New Roman" w:hAnsi="Times New Roman" w:cs="Times New Roman"/>
          <w:noProof/>
          <w:color w:val="000000" w:themeColor="text1"/>
          <w:sz w:val="24"/>
          <w:szCs w:val="24"/>
        </w:rPr>
        <w:t xml:space="preserve">2.4 There is no state responsibility for the death of </w:t>
      </w:r>
      <w:r w:rsidRPr="00EA796A">
        <w:rPr>
          <w:rFonts w:ascii="Times New Roman" w:hAnsi="Times New Roman" w:cs="Times New Roman"/>
          <w:noProof/>
          <w:color w:val="000000" w:themeColor="text1"/>
          <w:sz w:val="24"/>
          <w:szCs w:val="24"/>
          <w:lang w:val="en-GB"/>
        </w:rPr>
        <w:t xml:space="preserve">Aníbal </w:t>
      </w:r>
      <w:r w:rsidRPr="00EA796A">
        <w:rPr>
          <w:rFonts w:ascii="Times New Roman" w:hAnsi="Times New Roman" w:cs="Times New Roman"/>
          <w:noProof/>
          <w:color w:val="000000" w:themeColor="text1"/>
          <w:sz w:val="24"/>
          <w:szCs w:val="24"/>
        </w:rPr>
        <w:t>López (Art. 4, 19 j° 1(1) and 2 ACHR)</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_Toc288789567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33</w:t>
      </w:r>
      <w:r w:rsidRPr="00EA796A">
        <w:rPr>
          <w:rFonts w:ascii="Times New Roman" w:hAnsi="Times New Roman" w:cs="Times New Roman"/>
          <w:noProof/>
          <w:color w:val="000000" w:themeColor="text1"/>
          <w:sz w:val="24"/>
          <w:szCs w:val="24"/>
        </w:rPr>
        <w:fldChar w:fldCharType="end"/>
      </w:r>
    </w:p>
    <w:p w14:paraId="019C9DD1" w14:textId="77777777" w:rsidR="00CD1557" w:rsidRPr="00EA796A" w:rsidRDefault="00CD1557">
      <w:pPr>
        <w:pStyle w:val="TOC5"/>
        <w:tabs>
          <w:tab w:val="left" w:pos="901"/>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rPr>
        <w:t>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rPr>
        <w:t>The State did not violate Aníbal López’ right to life</w:t>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_Toc288789568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33</w:t>
      </w:r>
      <w:r w:rsidRPr="00EA796A">
        <w:rPr>
          <w:rFonts w:ascii="Times New Roman" w:hAnsi="Times New Roman" w:cs="Times New Roman"/>
          <w:color w:val="000000" w:themeColor="text1"/>
          <w:sz w:val="24"/>
          <w:szCs w:val="24"/>
        </w:rPr>
        <w:fldChar w:fldCharType="end"/>
      </w:r>
    </w:p>
    <w:p w14:paraId="705EFC6B" w14:textId="77777777" w:rsidR="00CD1557" w:rsidRPr="00EA796A" w:rsidRDefault="00CD1557">
      <w:pPr>
        <w:pStyle w:val="TOC5"/>
        <w:tabs>
          <w:tab w:val="left" w:pos="955"/>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lang w:val="en-US"/>
        </w:rPr>
        <w:t>ii.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lang w:val="en-US"/>
        </w:rPr>
        <w:t>The State fulfilled its positive obligations regarding</w:t>
      </w:r>
      <w:r w:rsidRPr="00EA796A">
        <w:rPr>
          <w:rFonts w:ascii="Times New Roman" w:hAnsi="Times New Roman" w:cs="Times New Roman"/>
          <w:color w:val="000000" w:themeColor="text1"/>
          <w:sz w:val="24"/>
          <w:szCs w:val="24"/>
        </w:rPr>
        <w:t xml:space="preserve"> Aníbal</w:t>
      </w:r>
      <w:r w:rsidRPr="00EA796A">
        <w:rPr>
          <w:rFonts w:ascii="Times New Roman" w:hAnsi="Times New Roman" w:cs="Times New Roman"/>
          <w:color w:val="000000" w:themeColor="text1"/>
          <w:sz w:val="24"/>
          <w:szCs w:val="24"/>
          <w:lang w:val="en-US"/>
        </w:rPr>
        <w:t xml:space="preserve"> López’ death</w:t>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_Toc288789569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36</w:t>
      </w:r>
      <w:r w:rsidRPr="00EA796A">
        <w:rPr>
          <w:rFonts w:ascii="Times New Roman" w:hAnsi="Times New Roman" w:cs="Times New Roman"/>
          <w:color w:val="000000" w:themeColor="text1"/>
          <w:sz w:val="24"/>
          <w:szCs w:val="24"/>
        </w:rPr>
        <w:fldChar w:fldCharType="end"/>
      </w:r>
    </w:p>
    <w:p w14:paraId="07067622" w14:textId="77777777" w:rsidR="00CD1557" w:rsidRPr="00EA796A" w:rsidRDefault="00CD1557">
      <w:pPr>
        <w:pStyle w:val="TOC5"/>
        <w:tabs>
          <w:tab w:val="left" w:pos="1009"/>
        </w:tabs>
        <w:rPr>
          <w:rFonts w:ascii="Times New Roman" w:hAnsi="Times New Roman" w:cs="Times New Roman"/>
          <w:i w:val="0"/>
          <w:color w:val="000000" w:themeColor="text1"/>
          <w:sz w:val="24"/>
          <w:szCs w:val="24"/>
          <w:lang w:val="nl-BE" w:eastAsia="ja-JP" w:bidi="ar-SA"/>
        </w:rPr>
      </w:pPr>
      <w:r w:rsidRPr="00EA796A">
        <w:rPr>
          <w:rFonts w:ascii="Times New Roman" w:hAnsi="Times New Roman" w:cs="Times New Roman"/>
          <w:color w:val="000000" w:themeColor="text1"/>
          <w:sz w:val="24"/>
          <w:szCs w:val="24"/>
          <w:lang w:val="en-US"/>
        </w:rPr>
        <w:t>iii.</w:t>
      </w:r>
      <w:r w:rsidRPr="00EA796A">
        <w:rPr>
          <w:rFonts w:ascii="Times New Roman" w:hAnsi="Times New Roman" w:cs="Times New Roman"/>
          <w:i w:val="0"/>
          <w:color w:val="000000" w:themeColor="text1"/>
          <w:sz w:val="24"/>
          <w:szCs w:val="24"/>
          <w:lang w:val="nl-BE" w:eastAsia="ja-JP" w:bidi="ar-SA"/>
        </w:rPr>
        <w:tab/>
      </w:r>
      <w:r w:rsidRPr="00EA796A">
        <w:rPr>
          <w:rFonts w:ascii="Times New Roman" w:hAnsi="Times New Roman" w:cs="Times New Roman"/>
          <w:color w:val="000000" w:themeColor="text1"/>
          <w:sz w:val="24"/>
          <w:szCs w:val="24"/>
          <w:lang w:val="en-US"/>
        </w:rPr>
        <w:t>The State provided adequate reparations for Mrs. López</w:t>
      </w:r>
      <w:r w:rsidRPr="00EA796A">
        <w:rPr>
          <w:rFonts w:ascii="Times New Roman" w:hAnsi="Times New Roman" w:cs="Times New Roman"/>
          <w:color w:val="000000" w:themeColor="text1"/>
          <w:sz w:val="24"/>
          <w:szCs w:val="24"/>
        </w:rPr>
        <w:tab/>
      </w:r>
      <w:r w:rsidRPr="00EA796A">
        <w:rPr>
          <w:rFonts w:ascii="Times New Roman" w:hAnsi="Times New Roman" w:cs="Times New Roman"/>
          <w:color w:val="000000" w:themeColor="text1"/>
          <w:sz w:val="24"/>
          <w:szCs w:val="24"/>
        </w:rPr>
        <w:fldChar w:fldCharType="begin"/>
      </w:r>
      <w:r w:rsidRPr="00EA796A">
        <w:rPr>
          <w:rFonts w:ascii="Times New Roman" w:hAnsi="Times New Roman" w:cs="Times New Roman"/>
          <w:color w:val="000000" w:themeColor="text1"/>
          <w:sz w:val="24"/>
          <w:szCs w:val="24"/>
        </w:rPr>
        <w:instrText xml:space="preserve"> PAGEREF _Toc288789570 \h </w:instrText>
      </w:r>
      <w:r w:rsidRPr="00EA796A">
        <w:rPr>
          <w:rFonts w:ascii="Times New Roman" w:hAnsi="Times New Roman" w:cs="Times New Roman"/>
          <w:color w:val="000000" w:themeColor="text1"/>
          <w:sz w:val="24"/>
          <w:szCs w:val="24"/>
        </w:rPr>
      </w:r>
      <w:r w:rsidRPr="00EA796A">
        <w:rPr>
          <w:rFonts w:ascii="Times New Roman" w:hAnsi="Times New Roman" w:cs="Times New Roman"/>
          <w:color w:val="000000" w:themeColor="text1"/>
          <w:sz w:val="24"/>
          <w:szCs w:val="24"/>
        </w:rPr>
        <w:fldChar w:fldCharType="separate"/>
      </w:r>
      <w:r w:rsidRPr="00EA796A">
        <w:rPr>
          <w:rFonts w:ascii="Times New Roman" w:hAnsi="Times New Roman" w:cs="Times New Roman"/>
          <w:color w:val="000000" w:themeColor="text1"/>
          <w:sz w:val="24"/>
          <w:szCs w:val="24"/>
        </w:rPr>
        <w:t>37</w:t>
      </w:r>
      <w:r w:rsidRPr="00EA796A">
        <w:rPr>
          <w:rFonts w:ascii="Times New Roman" w:hAnsi="Times New Roman" w:cs="Times New Roman"/>
          <w:color w:val="000000" w:themeColor="text1"/>
          <w:sz w:val="24"/>
          <w:szCs w:val="24"/>
        </w:rPr>
        <w:fldChar w:fldCharType="end"/>
      </w:r>
    </w:p>
    <w:p w14:paraId="1DEEAC87" w14:textId="77777777" w:rsidR="00CD1557" w:rsidRPr="00EA796A" w:rsidRDefault="00CD1557">
      <w:pPr>
        <w:pStyle w:val="TOC2"/>
        <w:tabs>
          <w:tab w:val="left" w:pos="454"/>
          <w:tab w:val="right" w:leader="dot" w:pos="9396"/>
        </w:tabs>
        <w:rPr>
          <w:rFonts w:ascii="Times New Roman" w:hAnsi="Times New Roman" w:cs="Times New Roman"/>
          <w:b w:val="0"/>
          <w:noProof/>
          <w:color w:val="000000" w:themeColor="text1"/>
          <w:sz w:val="24"/>
          <w:szCs w:val="24"/>
          <w:lang w:eastAsia="ja-JP" w:bidi="ar-SA"/>
        </w:rPr>
      </w:pPr>
      <w:r w:rsidRPr="00EA796A">
        <w:rPr>
          <w:rFonts w:ascii="Times New Roman" w:hAnsi="Times New Roman" w:cs="Times New Roman"/>
          <w:noProof/>
          <w:color w:val="000000" w:themeColor="text1"/>
          <w:sz w:val="24"/>
          <w:szCs w:val="24"/>
        </w:rPr>
        <w:t>D.</w:t>
      </w:r>
      <w:r w:rsidRPr="00EA796A">
        <w:rPr>
          <w:rFonts w:ascii="Times New Roman" w:hAnsi="Times New Roman" w:cs="Times New Roman"/>
          <w:b w:val="0"/>
          <w:noProof/>
          <w:color w:val="000000" w:themeColor="text1"/>
          <w:sz w:val="24"/>
          <w:szCs w:val="24"/>
          <w:lang w:eastAsia="ja-JP" w:bidi="ar-SA"/>
        </w:rPr>
        <w:tab/>
      </w:r>
      <w:r w:rsidRPr="00EA796A">
        <w:rPr>
          <w:rFonts w:ascii="Times New Roman" w:hAnsi="Times New Roman" w:cs="Times New Roman"/>
          <w:noProof/>
          <w:color w:val="000000" w:themeColor="text1"/>
          <w:sz w:val="24"/>
          <w:szCs w:val="24"/>
        </w:rPr>
        <w:t>Reparations (Art. 63(1) ACHR)</w:t>
      </w:r>
      <w:r w:rsidRPr="00EA796A">
        <w:rPr>
          <w:rFonts w:ascii="Times New Roman" w:hAnsi="Times New Roman" w:cs="Times New Roman"/>
          <w:noProof/>
          <w:color w:val="000000" w:themeColor="text1"/>
          <w:sz w:val="24"/>
          <w:szCs w:val="24"/>
        </w:rPr>
        <w:tab/>
      </w:r>
      <w:r w:rsidRPr="00EA796A">
        <w:rPr>
          <w:rFonts w:ascii="Times New Roman" w:hAnsi="Times New Roman" w:cs="Times New Roman"/>
          <w:noProof/>
          <w:color w:val="000000" w:themeColor="text1"/>
          <w:sz w:val="24"/>
          <w:szCs w:val="24"/>
        </w:rPr>
        <w:fldChar w:fldCharType="begin"/>
      </w:r>
      <w:r w:rsidRPr="00EA796A">
        <w:rPr>
          <w:rFonts w:ascii="Times New Roman" w:hAnsi="Times New Roman" w:cs="Times New Roman"/>
          <w:noProof/>
          <w:color w:val="000000" w:themeColor="text1"/>
          <w:sz w:val="24"/>
          <w:szCs w:val="24"/>
        </w:rPr>
        <w:instrText xml:space="preserve"> PAGEREF _Toc288789571 \h </w:instrText>
      </w:r>
      <w:r w:rsidRPr="00EA796A">
        <w:rPr>
          <w:rFonts w:ascii="Times New Roman" w:hAnsi="Times New Roman" w:cs="Times New Roman"/>
          <w:noProof/>
          <w:color w:val="000000" w:themeColor="text1"/>
          <w:sz w:val="24"/>
          <w:szCs w:val="24"/>
        </w:rPr>
      </w:r>
      <w:r w:rsidRPr="00EA796A">
        <w:rPr>
          <w:rFonts w:ascii="Times New Roman" w:hAnsi="Times New Roman" w:cs="Times New Roman"/>
          <w:noProof/>
          <w:color w:val="000000" w:themeColor="text1"/>
          <w:sz w:val="24"/>
          <w:szCs w:val="24"/>
        </w:rPr>
        <w:fldChar w:fldCharType="separate"/>
      </w:r>
      <w:r w:rsidRPr="00EA796A">
        <w:rPr>
          <w:rFonts w:ascii="Times New Roman" w:hAnsi="Times New Roman" w:cs="Times New Roman"/>
          <w:noProof/>
          <w:color w:val="000000" w:themeColor="text1"/>
          <w:sz w:val="24"/>
          <w:szCs w:val="24"/>
        </w:rPr>
        <w:t>38</w:t>
      </w:r>
      <w:r w:rsidRPr="00EA796A">
        <w:rPr>
          <w:rFonts w:ascii="Times New Roman" w:hAnsi="Times New Roman" w:cs="Times New Roman"/>
          <w:noProof/>
          <w:color w:val="000000" w:themeColor="text1"/>
          <w:sz w:val="24"/>
          <w:szCs w:val="24"/>
        </w:rPr>
        <w:fldChar w:fldCharType="end"/>
      </w:r>
    </w:p>
    <w:p w14:paraId="685D7708" w14:textId="77777777" w:rsidR="00CD1557" w:rsidRPr="00EA796A" w:rsidRDefault="00CD1557">
      <w:pPr>
        <w:pStyle w:val="TOC1"/>
        <w:tabs>
          <w:tab w:val="left" w:pos="473"/>
          <w:tab w:val="right" w:leader="dot" w:pos="9396"/>
        </w:tabs>
        <w:rPr>
          <w:rFonts w:ascii="Times New Roman" w:hAnsi="Times New Roman" w:cs="Times New Roman"/>
          <w:b w:val="0"/>
          <w:noProof/>
          <w:color w:val="000000" w:themeColor="text1"/>
          <w:lang w:eastAsia="ja-JP" w:bidi="ar-SA"/>
        </w:rPr>
      </w:pPr>
      <w:r w:rsidRPr="00EA796A">
        <w:rPr>
          <w:rFonts w:ascii="Times New Roman" w:hAnsi="Times New Roman" w:cs="Times New Roman"/>
          <w:noProof/>
          <w:color w:val="000000" w:themeColor="text1"/>
          <w:lang w:val="en-GB"/>
        </w:rPr>
        <w:t>V.</w:t>
      </w:r>
      <w:r w:rsidRPr="00EA796A">
        <w:rPr>
          <w:rFonts w:ascii="Times New Roman" w:hAnsi="Times New Roman" w:cs="Times New Roman"/>
          <w:b w:val="0"/>
          <w:noProof/>
          <w:color w:val="000000" w:themeColor="text1"/>
          <w:lang w:eastAsia="ja-JP" w:bidi="ar-SA"/>
        </w:rPr>
        <w:tab/>
      </w:r>
      <w:r w:rsidRPr="00EA796A">
        <w:rPr>
          <w:rFonts w:ascii="Times New Roman" w:hAnsi="Times New Roman" w:cs="Times New Roman"/>
          <w:noProof/>
          <w:color w:val="000000" w:themeColor="text1"/>
          <w:lang w:val="en-GB"/>
        </w:rPr>
        <w:t>Request for Relief</w:t>
      </w:r>
      <w:r w:rsidRPr="00EA796A">
        <w:rPr>
          <w:rFonts w:ascii="Times New Roman" w:hAnsi="Times New Roman" w:cs="Times New Roman"/>
          <w:noProof/>
          <w:color w:val="000000" w:themeColor="text1"/>
        </w:rPr>
        <w:tab/>
      </w:r>
      <w:r w:rsidRPr="00EA796A">
        <w:rPr>
          <w:rFonts w:ascii="Times New Roman" w:hAnsi="Times New Roman" w:cs="Times New Roman"/>
          <w:noProof/>
          <w:color w:val="000000" w:themeColor="text1"/>
        </w:rPr>
        <w:fldChar w:fldCharType="begin"/>
      </w:r>
      <w:r w:rsidRPr="00EA796A">
        <w:rPr>
          <w:rFonts w:ascii="Times New Roman" w:hAnsi="Times New Roman" w:cs="Times New Roman"/>
          <w:noProof/>
          <w:color w:val="000000" w:themeColor="text1"/>
        </w:rPr>
        <w:instrText xml:space="preserve"> PAGEREF _Toc288789572 \h </w:instrText>
      </w:r>
      <w:r w:rsidRPr="00EA796A">
        <w:rPr>
          <w:rFonts w:ascii="Times New Roman" w:hAnsi="Times New Roman" w:cs="Times New Roman"/>
          <w:noProof/>
          <w:color w:val="000000" w:themeColor="text1"/>
        </w:rPr>
      </w:r>
      <w:r w:rsidRPr="00EA796A">
        <w:rPr>
          <w:rFonts w:ascii="Times New Roman" w:hAnsi="Times New Roman" w:cs="Times New Roman"/>
          <w:noProof/>
          <w:color w:val="000000" w:themeColor="text1"/>
        </w:rPr>
        <w:fldChar w:fldCharType="separate"/>
      </w:r>
      <w:r w:rsidRPr="00EA796A">
        <w:rPr>
          <w:rFonts w:ascii="Times New Roman" w:hAnsi="Times New Roman" w:cs="Times New Roman"/>
          <w:noProof/>
          <w:color w:val="000000" w:themeColor="text1"/>
        </w:rPr>
        <w:t>39</w:t>
      </w:r>
      <w:r w:rsidRPr="00EA796A">
        <w:rPr>
          <w:rFonts w:ascii="Times New Roman" w:hAnsi="Times New Roman" w:cs="Times New Roman"/>
          <w:noProof/>
          <w:color w:val="000000" w:themeColor="text1"/>
        </w:rPr>
        <w:fldChar w:fldCharType="end"/>
      </w:r>
    </w:p>
    <w:p w14:paraId="30D8B37F" w14:textId="71C3F273" w:rsidR="00BE3A14" w:rsidRPr="00EA796A" w:rsidRDefault="00A75DC0" w:rsidP="00EF5B4E">
      <w:pPr>
        <w:numPr>
          <w:ilvl w:val="0"/>
          <w:numId w:val="0"/>
        </w:numPr>
        <w:spacing w:after="0"/>
        <w:rPr>
          <w:rFonts w:eastAsiaTheme="majorEastAsia" w:cs="Times New Roman"/>
          <w:color w:val="000000" w:themeColor="text1"/>
          <w:szCs w:val="24"/>
        </w:rPr>
      </w:pPr>
      <w:r w:rsidRPr="00EA796A">
        <w:rPr>
          <w:rFonts w:cs="Times New Roman"/>
          <w:color w:val="000000" w:themeColor="text1"/>
          <w:szCs w:val="24"/>
        </w:rPr>
        <w:fldChar w:fldCharType="end"/>
      </w:r>
    </w:p>
    <w:p w14:paraId="11C0EFCB" w14:textId="076EF446" w:rsidR="00BE3A14" w:rsidRPr="00EA796A" w:rsidRDefault="00BE3A14" w:rsidP="00EF5B4E">
      <w:pPr>
        <w:pStyle w:val="Heading1"/>
        <w:spacing w:before="0" w:after="0"/>
        <w:ind w:left="1080"/>
        <w:rPr>
          <w:rFonts w:ascii="Times New Roman" w:hAnsi="Times New Roman" w:cs="Times New Roman"/>
          <w:color w:val="000000" w:themeColor="text1"/>
          <w:sz w:val="24"/>
          <w:szCs w:val="24"/>
        </w:rPr>
      </w:pPr>
      <w:bookmarkStart w:id="3" w:name="_Toc288551012"/>
      <w:bookmarkStart w:id="4" w:name="_Toc288727692"/>
      <w:bookmarkStart w:id="5" w:name="_Toc288789544"/>
      <w:r w:rsidRPr="00EA796A">
        <w:rPr>
          <w:rFonts w:ascii="Times New Roman" w:hAnsi="Times New Roman" w:cs="Times New Roman"/>
          <w:color w:val="000000" w:themeColor="text1"/>
          <w:sz w:val="24"/>
          <w:szCs w:val="24"/>
        </w:rPr>
        <w:t>Index of Authorities</w:t>
      </w:r>
      <w:bookmarkEnd w:id="3"/>
      <w:bookmarkEnd w:id="4"/>
      <w:bookmarkEnd w:id="5"/>
    </w:p>
    <w:p w14:paraId="31BBF1A0" w14:textId="239646E0" w:rsidR="00BE3A14" w:rsidRPr="00EA796A" w:rsidRDefault="00CD1557" w:rsidP="00EF5B4E">
      <w:pPr>
        <w:numPr>
          <w:ilvl w:val="0"/>
          <w:numId w:val="0"/>
        </w:numPr>
        <w:spacing w:after="0"/>
        <w:rPr>
          <w:rFonts w:cs="Times New Roman"/>
          <w:b/>
          <w:color w:val="000000" w:themeColor="text1"/>
          <w:szCs w:val="24"/>
          <w:lang w:val="en-US"/>
        </w:rPr>
      </w:pPr>
      <w:r w:rsidRPr="00EA796A">
        <w:rPr>
          <w:rFonts w:cs="Times New Roman"/>
          <w:b/>
          <w:color w:val="000000" w:themeColor="text1"/>
          <w:szCs w:val="24"/>
          <w:lang w:val="en-US"/>
        </w:rPr>
        <w:t>A</w:t>
      </w:r>
      <w:r w:rsidR="00BE3A14" w:rsidRPr="00EA796A">
        <w:rPr>
          <w:rFonts w:cs="Times New Roman"/>
          <w:b/>
          <w:color w:val="000000" w:themeColor="text1"/>
          <w:szCs w:val="24"/>
          <w:lang w:val="en-US"/>
        </w:rPr>
        <w:t>.</w:t>
      </w:r>
      <w:r w:rsidR="00BE3A14" w:rsidRPr="00EA796A">
        <w:rPr>
          <w:rFonts w:cs="Times New Roman"/>
          <w:color w:val="000000" w:themeColor="text1"/>
          <w:szCs w:val="24"/>
          <w:lang w:val="en-US"/>
        </w:rPr>
        <w:t xml:space="preserve"> </w:t>
      </w:r>
      <w:r w:rsidR="00BE3A14" w:rsidRPr="00EA796A">
        <w:rPr>
          <w:rFonts w:cs="Times New Roman"/>
          <w:b/>
          <w:color w:val="000000" w:themeColor="text1"/>
          <w:szCs w:val="24"/>
          <w:lang w:val="en-US"/>
        </w:rPr>
        <w:t>BOOKS AND ARTICLES</w:t>
      </w:r>
    </w:p>
    <w:p w14:paraId="7138DC97" w14:textId="7EE9FEC2" w:rsidR="00885A7B" w:rsidRPr="00EA796A" w:rsidRDefault="00885A7B" w:rsidP="00E052BE">
      <w:pPr>
        <w:pStyle w:val="FootnoteText"/>
        <w:numPr>
          <w:ilvl w:val="0"/>
          <w:numId w:val="0"/>
        </w:numPr>
        <w:spacing w:line="480" w:lineRule="auto"/>
        <w:rPr>
          <w:color w:val="000000" w:themeColor="text1"/>
          <w:lang w:val="en-US"/>
        </w:rPr>
      </w:pPr>
      <w:r w:rsidRPr="00EA796A">
        <w:rPr>
          <w:color w:val="000000" w:themeColor="text1"/>
          <w:lang w:val="en-US"/>
        </w:rPr>
        <w:t xml:space="preserve">Burgorgue-Larsen, Laurence and </w:t>
      </w:r>
      <w:r w:rsidRPr="00EA796A">
        <w:rPr>
          <w:bCs/>
          <w:color w:val="000000" w:themeColor="text1"/>
          <w:lang w:val="en-US" w:eastAsia="ja-JP"/>
        </w:rPr>
        <w:t>Úbeda de Torres</w:t>
      </w:r>
      <w:r w:rsidRPr="00EA796A">
        <w:rPr>
          <w:color w:val="000000" w:themeColor="text1"/>
          <w:lang w:val="en-US" w:eastAsia="ja-JP"/>
        </w:rPr>
        <w:t>, Amaya, “</w:t>
      </w:r>
      <w:r w:rsidRPr="00EA796A">
        <w:rPr>
          <w:i/>
          <w:color w:val="000000" w:themeColor="text1"/>
          <w:lang w:val="en-US"/>
        </w:rPr>
        <w:t>The Inter-American Court of Human Rights: Case law and Commentary</w:t>
      </w:r>
      <w:r w:rsidRPr="00EA796A">
        <w:rPr>
          <w:color w:val="000000" w:themeColor="text1"/>
          <w:lang w:val="en-US"/>
        </w:rPr>
        <w:t>”, Oxford, Oxford University Press, 886, (2011).</w:t>
      </w:r>
      <w:r w:rsidR="00485152" w:rsidRPr="00EA796A">
        <w:rPr>
          <w:color w:val="000000" w:themeColor="text1"/>
          <w:lang w:val="en-US"/>
        </w:rPr>
        <w:t xml:space="preserve"> </w:t>
      </w:r>
      <w:r w:rsidR="00485152" w:rsidRPr="00EA796A">
        <w:rPr>
          <w:b/>
          <w:color w:val="000000" w:themeColor="text1"/>
          <w:lang w:val="en-US"/>
        </w:rPr>
        <w:t xml:space="preserve">(p. </w:t>
      </w:r>
      <w:r w:rsidR="00E7033E" w:rsidRPr="00EA796A">
        <w:rPr>
          <w:b/>
          <w:color w:val="000000" w:themeColor="text1"/>
          <w:lang w:val="en-US"/>
        </w:rPr>
        <w:t>26)</w:t>
      </w:r>
    </w:p>
    <w:p w14:paraId="2D73741C" w14:textId="37690B45" w:rsidR="00885A7B" w:rsidRPr="00EA796A" w:rsidRDefault="00885A7B" w:rsidP="00E052BE">
      <w:pPr>
        <w:pStyle w:val="FootnoteText"/>
        <w:numPr>
          <w:ilvl w:val="0"/>
          <w:numId w:val="0"/>
        </w:numPr>
        <w:spacing w:line="480" w:lineRule="auto"/>
        <w:rPr>
          <w:color w:val="000000" w:themeColor="text1"/>
          <w:lang w:val="en-US"/>
        </w:rPr>
      </w:pPr>
      <w:r w:rsidRPr="00EA796A">
        <w:rPr>
          <w:color w:val="000000" w:themeColor="text1"/>
          <w:lang w:val="en-US"/>
        </w:rPr>
        <w:lastRenderedPageBreak/>
        <w:t xml:space="preserve">Henckaerts, Jean-Marie, Doswald-Beck, Louise, </w:t>
      </w:r>
      <w:r w:rsidRPr="00EA796A">
        <w:rPr>
          <w:i/>
          <w:color w:val="000000" w:themeColor="text1"/>
          <w:lang w:val="en-US"/>
        </w:rPr>
        <w:t>“Customary International Humanitarian Law”</w:t>
      </w:r>
      <w:r w:rsidRPr="00EA796A">
        <w:rPr>
          <w:color w:val="000000" w:themeColor="text1"/>
          <w:lang w:val="en-US"/>
        </w:rPr>
        <w:t>, Volume I, ICRC, Cambridge, (2005).</w:t>
      </w:r>
      <w:r w:rsidR="00E7033E" w:rsidRPr="00EA796A">
        <w:rPr>
          <w:color w:val="000000" w:themeColor="text1"/>
          <w:lang w:val="en-US"/>
        </w:rPr>
        <w:t xml:space="preserve"> </w:t>
      </w:r>
      <w:r w:rsidR="00E7033E" w:rsidRPr="00EA796A">
        <w:rPr>
          <w:b/>
          <w:color w:val="000000" w:themeColor="text1"/>
          <w:lang w:val="en-US"/>
        </w:rPr>
        <w:t>(p.36)</w:t>
      </w:r>
    </w:p>
    <w:p w14:paraId="413A1556" w14:textId="22FA0019" w:rsidR="00885A7B" w:rsidRPr="00EA796A" w:rsidRDefault="00885A7B" w:rsidP="00E052BE">
      <w:pPr>
        <w:pStyle w:val="FootnoteText"/>
        <w:numPr>
          <w:ilvl w:val="0"/>
          <w:numId w:val="0"/>
        </w:numPr>
        <w:spacing w:line="480" w:lineRule="auto"/>
        <w:rPr>
          <w:color w:val="000000" w:themeColor="text1"/>
          <w:lang w:val="en-US"/>
        </w:rPr>
      </w:pPr>
      <w:r w:rsidRPr="00EA796A">
        <w:rPr>
          <w:color w:val="000000" w:themeColor="text1"/>
          <w:lang w:val="en-US"/>
        </w:rPr>
        <w:t>Karimova, Takhmina, “</w:t>
      </w:r>
      <w:r w:rsidRPr="00EA796A">
        <w:rPr>
          <w:i/>
          <w:color w:val="000000" w:themeColor="text1"/>
          <w:lang w:val="en-US"/>
        </w:rPr>
        <w:t>What amounts to ‘a serious violation of International Human Rights Law’</w:t>
      </w:r>
      <w:r w:rsidRPr="00EA796A">
        <w:rPr>
          <w:color w:val="000000" w:themeColor="text1"/>
          <w:lang w:val="en-US"/>
        </w:rPr>
        <w:t>?”, Geneva Academy Briefing No. 6, 43, (2014).</w:t>
      </w:r>
      <w:r w:rsidR="00E7033E" w:rsidRPr="00EA796A">
        <w:rPr>
          <w:color w:val="000000" w:themeColor="text1"/>
          <w:lang w:val="en-US"/>
        </w:rPr>
        <w:t xml:space="preserve"> </w:t>
      </w:r>
      <w:r w:rsidR="00E7033E" w:rsidRPr="00EA796A">
        <w:rPr>
          <w:b/>
          <w:color w:val="000000" w:themeColor="text1"/>
          <w:lang w:val="en-US"/>
        </w:rPr>
        <w:t>(p.22)</w:t>
      </w:r>
    </w:p>
    <w:p w14:paraId="6C5162CD" w14:textId="5E770CA2" w:rsidR="00885A7B" w:rsidRPr="00EA796A" w:rsidRDefault="00885A7B" w:rsidP="00E052BE">
      <w:pPr>
        <w:pStyle w:val="FootnoteText"/>
        <w:numPr>
          <w:ilvl w:val="0"/>
          <w:numId w:val="0"/>
        </w:numPr>
        <w:spacing w:line="480" w:lineRule="auto"/>
        <w:rPr>
          <w:color w:val="000000" w:themeColor="text1"/>
          <w:lang w:val="en-US"/>
        </w:rPr>
      </w:pPr>
      <w:r w:rsidRPr="00EA796A">
        <w:rPr>
          <w:color w:val="000000" w:themeColor="text1"/>
          <w:lang w:val="en-US"/>
        </w:rPr>
        <w:t>Medina Quiroga, Cecilia, “</w:t>
      </w:r>
      <w:r w:rsidRPr="00EA796A">
        <w:rPr>
          <w:i/>
          <w:color w:val="000000" w:themeColor="text1"/>
          <w:lang w:val="en-US"/>
        </w:rPr>
        <w:t>The American Convention on Human Rights”</w:t>
      </w:r>
      <w:r w:rsidRPr="00EA796A">
        <w:rPr>
          <w:color w:val="000000" w:themeColor="text1"/>
          <w:lang w:val="en-US"/>
        </w:rPr>
        <w:t>, Cambridge, Intersentia, 252, (2014).</w:t>
      </w:r>
      <w:r w:rsidR="00E7033E" w:rsidRPr="00EA796A">
        <w:rPr>
          <w:color w:val="000000" w:themeColor="text1"/>
          <w:lang w:val="en-US"/>
        </w:rPr>
        <w:t xml:space="preserve"> </w:t>
      </w:r>
      <w:r w:rsidR="00E7033E" w:rsidRPr="00EA796A">
        <w:rPr>
          <w:b/>
          <w:color w:val="000000" w:themeColor="text1"/>
          <w:lang w:val="en-US"/>
        </w:rPr>
        <w:t>(p.27, 38)</w:t>
      </w:r>
    </w:p>
    <w:p w14:paraId="09483528" w14:textId="51C06F34" w:rsidR="00885A7B" w:rsidRPr="00EA796A" w:rsidRDefault="00885A7B" w:rsidP="00E052BE">
      <w:pPr>
        <w:pStyle w:val="FootnoteText"/>
        <w:numPr>
          <w:ilvl w:val="0"/>
          <w:numId w:val="0"/>
        </w:numPr>
        <w:spacing w:line="480" w:lineRule="auto"/>
        <w:rPr>
          <w:color w:val="000000" w:themeColor="text1"/>
          <w:lang w:val="en-US"/>
        </w:rPr>
      </w:pPr>
      <w:r w:rsidRPr="00EA796A">
        <w:rPr>
          <w:color w:val="000000" w:themeColor="text1"/>
          <w:lang w:val="en-GB"/>
        </w:rPr>
        <w:t>Pasqualucci, Jo, “</w:t>
      </w:r>
      <w:r w:rsidRPr="00EA796A">
        <w:rPr>
          <w:i/>
          <w:color w:val="000000" w:themeColor="text1"/>
          <w:lang w:val="en-GB"/>
        </w:rPr>
        <w:t>The Practice and Procedure of the Inter-American Court of Human Rights</w:t>
      </w:r>
      <w:r w:rsidRPr="00EA796A">
        <w:rPr>
          <w:color w:val="000000" w:themeColor="text1"/>
          <w:lang w:val="en-GB"/>
        </w:rPr>
        <w:t>”, Cambridge, (2003).</w:t>
      </w:r>
      <w:r w:rsidR="00E7033E" w:rsidRPr="00EA796A">
        <w:rPr>
          <w:color w:val="000000" w:themeColor="text1"/>
          <w:lang w:val="en-GB"/>
        </w:rPr>
        <w:t xml:space="preserve"> </w:t>
      </w:r>
      <w:r w:rsidR="00E7033E" w:rsidRPr="00EA796A">
        <w:rPr>
          <w:b/>
          <w:color w:val="000000" w:themeColor="text1"/>
          <w:lang w:val="en-GB"/>
        </w:rPr>
        <w:t>(p.34)</w:t>
      </w:r>
    </w:p>
    <w:p w14:paraId="5AB72F82" w14:textId="77777777" w:rsidR="00CD1557" w:rsidRPr="00EA796A" w:rsidRDefault="00CD1557" w:rsidP="00EF5B4E">
      <w:pPr>
        <w:numPr>
          <w:ilvl w:val="0"/>
          <w:numId w:val="0"/>
        </w:numPr>
        <w:spacing w:after="0"/>
        <w:rPr>
          <w:rFonts w:cs="Times New Roman"/>
          <w:b/>
          <w:bCs/>
          <w:caps/>
          <w:color w:val="000000" w:themeColor="text1"/>
          <w:szCs w:val="24"/>
          <w:lang w:val="en-US"/>
        </w:rPr>
      </w:pPr>
      <w:r w:rsidRPr="00EA796A">
        <w:rPr>
          <w:rFonts w:cs="Times New Roman"/>
          <w:b/>
          <w:bCs/>
          <w:caps/>
          <w:color w:val="000000" w:themeColor="text1"/>
          <w:szCs w:val="24"/>
          <w:lang w:val="en-US"/>
        </w:rPr>
        <w:t>B</w:t>
      </w:r>
      <w:r w:rsidR="00BE3A14" w:rsidRPr="00EA796A">
        <w:rPr>
          <w:rFonts w:cs="Times New Roman"/>
          <w:b/>
          <w:bCs/>
          <w:caps/>
          <w:color w:val="000000" w:themeColor="text1"/>
          <w:szCs w:val="24"/>
          <w:lang w:val="en-US"/>
        </w:rPr>
        <w:t xml:space="preserve">. </w:t>
      </w:r>
      <w:r w:rsidRPr="00EA796A">
        <w:rPr>
          <w:rFonts w:cs="Times New Roman"/>
          <w:b/>
          <w:bCs/>
          <w:caps/>
          <w:color w:val="000000" w:themeColor="text1"/>
          <w:szCs w:val="24"/>
          <w:lang w:val="en-US"/>
        </w:rPr>
        <w:t>Legal Cases</w:t>
      </w:r>
    </w:p>
    <w:p w14:paraId="3B4937AD" w14:textId="7A0D9E85" w:rsidR="00BE3A14" w:rsidRPr="00EA796A" w:rsidRDefault="00CD1557" w:rsidP="00EF5B4E">
      <w:pPr>
        <w:numPr>
          <w:ilvl w:val="0"/>
          <w:numId w:val="0"/>
        </w:numPr>
        <w:spacing w:after="0"/>
        <w:rPr>
          <w:rFonts w:cs="Times New Roman"/>
          <w:b/>
          <w:bCs/>
          <w:caps/>
          <w:color w:val="000000" w:themeColor="text1"/>
          <w:szCs w:val="24"/>
          <w:lang w:val="en-US"/>
        </w:rPr>
      </w:pPr>
      <w:r w:rsidRPr="00EA796A">
        <w:rPr>
          <w:rFonts w:cs="Times New Roman"/>
          <w:b/>
          <w:bCs/>
          <w:color w:val="000000" w:themeColor="text1"/>
          <w:szCs w:val="24"/>
          <w:lang w:val="en-US"/>
        </w:rPr>
        <w:t>1. Inter-American Commission Of Human Rights (Iachr)</w:t>
      </w:r>
    </w:p>
    <w:p w14:paraId="595435AA" w14:textId="42E7AF1C" w:rsidR="00BE3A14" w:rsidRPr="00EA796A" w:rsidRDefault="00F22E99" w:rsidP="00EF5B4E">
      <w:pPr>
        <w:numPr>
          <w:ilvl w:val="0"/>
          <w:numId w:val="0"/>
        </w:numPr>
        <w:spacing w:after="0"/>
        <w:rPr>
          <w:rFonts w:cs="Times New Roman"/>
          <w:bCs/>
          <w:i/>
          <w:color w:val="000000" w:themeColor="text1"/>
          <w:szCs w:val="24"/>
          <w:u w:val="single"/>
          <w:lang w:val="en-US"/>
        </w:rPr>
      </w:pPr>
      <w:r w:rsidRPr="00EA796A">
        <w:rPr>
          <w:rFonts w:cs="Times New Roman"/>
          <w:bCs/>
          <w:i/>
          <w:color w:val="000000" w:themeColor="text1"/>
          <w:szCs w:val="24"/>
          <w:u w:val="single"/>
          <w:lang w:val="en-US"/>
        </w:rPr>
        <w:t>Contentious Cases</w:t>
      </w:r>
    </w:p>
    <w:p w14:paraId="4EDC2C36" w14:textId="5295EDCA" w:rsidR="003A54B5" w:rsidRPr="00EA796A" w:rsidRDefault="003A54B5" w:rsidP="00E052BE">
      <w:pPr>
        <w:numPr>
          <w:ilvl w:val="0"/>
          <w:numId w:val="0"/>
        </w:numPr>
        <w:spacing w:after="0"/>
        <w:rPr>
          <w:rFonts w:cs="Times New Roman"/>
          <w:bCs/>
          <w:color w:val="000000" w:themeColor="text1"/>
          <w:szCs w:val="24"/>
          <w:lang w:val="en-US"/>
        </w:rPr>
      </w:pPr>
      <w:r w:rsidRPr="00EA796A">
        <w:rPr>
          <w:rFonts w:cs="Times New Roman"/>
          <w:bCs/>
          <w:i/>
          <w:iCs/>
          <w:color w:val="000000" w:themeColor="text1"/>
          <w:szCs w:val="24"/>
          <w:lang w:val="en-US"/>
        </w:rPr>
        <w:t xml:space="preserve">Inocencio Rodríguez v. Argentina, </w:t>
      </w:r>
      <w:r w:rsidRPr="00EA796A">
        <w:rPr>
          <w:rFonts w:cs="Times New Roman"/>
          <w:bCs/>
          <w:color w:val="000000" w:themeColor="text1"/>
          <w:szCs w:val="24"/>
          <w:lang w:val="en-US"/>
        </w:rPr>
        <w:t>IACHR, Report No. 19/11, (23 March 2011).</w:t>
      </w:r>
      <w:r w:rsidR="00E7033E" w:rsidRPr="00EA796A">
        <w:rPr>
          <w:rFonts w:cs="Times New Roman"/>
          <w:bCs/>
          <w:color w:val="000000" w:themeColor="text1"/>
          <w:szCs w:val="24"/>
          <w:lang w:val="en-US"/>
        </w:rPr>
        <w:t xml:space="preserve"> </w:t>
      </w:r>
      <w:r w:rsidR="00E7033E" w:rsidRPr="00EA796A">
        <w:rPr>
          <w:rFonts w:cs="Times New Roman"/>
          <w:b/>
          <w:color w:val="000000" w:themeColor="text1"/>
          <w:szCs w:val="24"/>
          <w:lang w:val="en-GB"/>
        </w:rPr>
        <w:t>(p.35)</w:t>
      </w:r>
    </w:p>
    <w:p w14:paraId="6F98FA31" w14:textId="5E37EE1C" w:rsidR="003A54B5" w:rsidRPr="00EA796A" w:rsidRDefault="003A54B5" w:rsidP="00E052BE">
      <w:pPr>
        <w:numPr>
          <w:ilvl w:val="0"/>
          <w:numId w:val="0"/>
        </w:numPr>
        <w:spacing w:after="0"/>
        <w:rPr>
          <w:rFonts w:cs="Times New Roman"/>
          <w:b/>
          <w:bCs/>
          <w:color w:val="000000" w:themeColor="text1"/>
          <w:szCs w:val="24"/>
          <w:lang w:val="en-US"/>
        </w:rPr>
      </w:pPr>
      <w:r w:rsidRPr="00EA796A">
        <w:rPr>
          <w:rFonts w:cs="Times New Roman"/>
          <w:i/>
          <w:iCs/>
          <w:color w:val="000000" w:themeColor="text1"/>
          <w:szCs w:val="24"/>
          <w:lang w:val="en-US"/>
        </w:rPr>
        <w:t>Santander Tristán Donos v. Panama</w:t>
      </w:r>
      <w:r w:rsidRPr="00EA796A">
        <w:rPr>
          <w:rFonts w:cs="Times New Roman"/>
          <w:iCs/>
          <w:color w:val="000000" w:themeColor="text1"/>
          <w:szCs w:val="24"/>
          <w:lang w:val="en-US"/>
        </w:rPr>
        <w:t>, Inter-Am. Comm. H.R., Admissibility Petition 12.360, Report No. 71/02, (24 October 2002).</w:t>
      </w:r>
      <w:r w:rsidR="00E7033E" w:rsidRPr="00EA796A">
        <w:rPr>
          <w:rFonts w:cs="Times New Roman"/>
          <w:iCs/>
          <w:color w:val="000000" w:themeColor="text1"/>
          <w:szCs w:val="24"/>
          <w:lang w:val="en-US"/>
        </w:rPr>
        <w:t xml:space="preserve"> </w:t>
      </w:r>
      <w:r w:rsidR="00E7033E" w:rsidRPr="00EA796A">
        <w:rPr>
          <w:rFonts w:cs="Times New Roman"/>
          <w:b/>
          <w:color w:val="000000" w:themeColor="text1"/>
          <w:szCs w:val="24"/>
          <w:lang w:val="en-GB"/>
        </w:rPr>
        <w:t>(p.16)</w:t>
      </w:r>
    </w:p>
    <w:p w14:paraId="6F7EA3AA" w14:textId="20868967" w:rsidR="00EF5B4E" w:rsidRPr="00EA796A" w:rsidRDefault="003A54B5" w:rsidP="00E052BE">
      <w:pPr>
        <w:numPr>
          <w:ilvl w:val="0"/>
          <w:numId w:val="0"/>
        </w:numPr>
        <w:spacing w:after="0"/>
        <w:rPr>
          <w:rFonts w:cs="Times New Roman"/>
          <w:bCs/>
          <w:color w:val="000000" w:themeColor="text1"/>
          <w:szCs w:val="24"/>
          <w:lang w:val="en-US"/>
        </w:rPr>
      </w:pPr>
      <w:r w:rsidRPr="00EA796A">
        <w:rPr>
          <w:rFonts w:cs="Times New Roman"/>
          <w:bCs/>
          <w:i/>
          <w:iCs/>
          <w:color w:val="000000" w:themeColor="text1"/>
          <w:szCs w:val="24"/>
          <w:lang w:val="en-US"/>
        </w:rPr>
        <w:t xml:space="preserve">Valerio Castillo Báez v. Argentina, </w:t>
      </w:r>
      <w:r w:rsidRPr="00EA796A">
        <w:rPr>
          <w:rFonts w:cs="Times New Roman"/>
          <w:bCs/>
          <w:color w:val="000000" w:themeColor="text1"/>
          <w:szCs w:val="24"/>
          <w:lang w:val="en-US"/>
        </w:rPr>
        <w:t>IACHR, Report No. 161/10,</w:t>
      </w:r>
      <w:r w:rsidRPr="00EA796A">
        <w:rPr>
          <w:rFonts w:cs="Times New Roman"/>
          <w:bCs/>
          <w:i/>
          <w:iCs/>
          <w:color w:val="000000" w:themeColor="text1"/>
          <w:szCs w:val="24"/>
          <w:lang w:val="en-US"/>
        </w:rPr>
        <w:t xml:space="preserve"> </w:t>
      </w:r>
      <w:r w:rsidRPr="00EA796A">
        <w:rPr>
          <w:rFonts w:cs="Times New Roman"/>
          <w:bCs/>
          <w:iCs/>
          <w:color w:val="000000" w:themeColor="text1"/>
          <w:szCs w:val="24"/>
          <w:lang w:val="en-US"/>
        </w:rPr>
        <w:t>(</w:t>
      </w:r>
      <w:r w:rsidRPr="00EA796A">
        <w:rPr>
          <w:rFonts w:cs="Times New Roman"/>
          <w:bCs/>
          <w:color w:val="000000" w:themeColor="text1"/>
          <w:szCs w:val="24"/>
          <w:lang w:val="en-US"/>
        </w:rPr>
        <w:t>1 November 2010).</w:t>
      </w:r>
      <w:r w:rsidR="00E7033E" w:rsidRPr="00EA796A">
        <w:rPr>
          <w:rFonts w:cs="Times New Roman"/>
          <w:bCs/>
          <w:color w:val="000000" w:themeColor="text1"/>
          <w:szCs w:val="24"/>
          <w:lang w:val="en-US"/>
        </w:rPr>
        <w:t xml:space="preserve"> </w:t>
      </w:r>
      <w:r w:rsidR="00E7033E" w:rsidRPr="00EA796A">
        <w:rPr>
          <w:rFonts w:cs="Times New Roman"/>
          <w:b/>
          <w:color w:val="000000" w:themeColor="text1"/>
          <w:szCs w:val="24"/>
          <w:lang w:val="en-GB"/>
        </w:rPr>
        <w:t>(p.33)</w:t>
      </w:r>
    </w:p>
    <w:p w14:paraId="0418FDCF" w14:textId="7BADF17F" w:rsidR="00BE3A14" w:rsidRPr="00EA796A" w:rsidRDefault="00CD1557" w:rsidP="00EF5B4E">
      <w:pPr>
        <w:numPr>
          <w:ilvl w:val="0"/>
          <w:numId w:val="0"/>
        </w:numPr>
        <w:spacing w:after="0"/>
        <w:rPr>
          <w:rFonts w:cs="Times New Roman"/>
          <w:b/>
          <w:bCs/>
          <w:caps/>
          <w:color w:val="000000" w:themeColor="text1"/>
          <w:szCs w:val="24"/>
          <w:lang w:val="en-US"/>
        </w:rPr>
      </w:pPr>
      <w:r w:rsidRPr="00EA796A">
        <w:rPr>
          <w:rFonts w:cs="Times New Roman"/>
          <w:b/>
          <w:bCs/>
          <w:color w:val="000000" w:themeColor="text1"/>
          <w:szCs w:val="24"/>
          <w:lang w:val="en-US"/>
        </w:rPr>
        <w:t>2. Inter-American Court Of Human Rights (Iacthr)</w:t>
      </w:r>
    </w:p>
    <w:p w14:paraId="4DCDA63F" w14:textId="77777777" w:rsidR="00BE3A14" w:rsidRPr="00EA796A" w:rsidRDefault="00BE3A14" w:rsidP="00EF5B4E">
      <w:pPr>
        <w:numPr>
          <w:ilvl w:val="0"/>
          <w:numId w:val="0"/>
        </w:numPr>
        <w:spacing w:after="0"/>
        <w:rPr>
          <w:rFonts w:cs="Times New Roman"/>
          <w:bCs/>
          <w:i/>
          <w:color w:val="000000" w:themeColor="text1"/>
          <w:szCs w:val="24"/>
          <w:u w:val="single"/>
          <w:lang w:val="en-US"/>
        </w:rPr>
      </w:pPr>
      <w:r w:rsidRPr="00EA796A">
        <w:rPr>
          <w:rFonts w:cs="Times New Roman"/>
          <w:bCs/>
          <w:i/>
          <w:color w:val="000000" w:themeColor="text1"/>
          <w:szCs w:val="24"/>
          <w:u w:val="single"/>
          <w:lang w:val="en-US"/>
        </w:rPr>
        <w:t>Advisory Opinions</w:t>
      </w:r>
    </w:p>
    <w:p w14:paraId="656F93A1" w14:textId="593E9544"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cs="Times New Roman"/>
          <w:bCs/>
          <w:i/>
          <w:color w:val="000000" w:themeColor="text1"/>
          <w:szCs w:val="24"/>
          <w:lang w:val="en-US" w:eastAsia="ja-JP" w:bidi="ar-SA"/>
        </w:rPr>
        <w:t>Control of Legality in the Practice of Authorities of the Inter-American Commission of Human Rights (Arts. 41 &amp; 44 to 51 of the American Convention on Human Rights)</w:t>
      </w:r>
      <w:r w:rsidRPr="00EA796A">
        <w:rPr>
          <w:rFonts w:cs="Times New Roman"/>
          <w:bCs/>
          <w:color w:val="000000" w:themeColor="text1"/>
          <w:szCs w:val="24"/>
          <w:lang w:val="en-US" w:eastAsia="ja-JP" w:bidi="ar-SA"/>
        </w:rPr>
        <w:t xml:space="preserve"> (Advisory opinion OC-19/05), Inter-Am. Ct. H.R., Ser</w:t>
      </w:r>
      <w:r w:rsidR="00FB189B" w:rsidRPr="00EA796A">
        <w:rPr>
          <w:rFonts w:cs="Times New Roman"/>
          <w:bCs/>
          <w:color w:val="000000" w:themeColor="text1"/>
          <w:szCs w:val="24"/>
          <w:lang w:val="en-US" w:eastAsia="ja-JP" w:bidi="ar-SA"/>
        </w:rPr>
        <w:t>. 1, No. 19, (28 November 2005).</w:t>
      </w:r>
      <w:r w:rsidR="00E7033E" w:rsidRPr="00EA796A">
        <w:rPr>
          <w:rFonts w:cs="Times New Roman"/>
          <w:bCs/>
          <w:color w:val="000000" w:themeColor="text1"/>
          <w:szCs w:val="24"/>
          <w:lang w:val="en-US" w:eastAsia="ja-JP" w:bidi="ar-SA"/>
        </w:rPr>
        <w:t xml:space="preserve"> </w:t>
      </w:r>
      <w:r w:rsidR="00E7033E" w:rsidRPr="00EA796A">
        <w:rPr>
          <w:rFonts w:cs="Times New Roman"/>
          <w:b/>
          <w:color w:val="000000" w:themeColor="text1"/>
          <w:szCs w:val="24"/>
          <w:lang w:val="en-GB"/>
        </w:rPr>
        <w:t>(p.19)</w:t>
      </w:r>
    </w:p>
    <w:p w14:paraId="047F720A" w14:textId="50F1368E"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cs="Times New Roman"/>
          <w:bCs/>
          <w:i/>
          <w:color w:val="000000" w:themeColor="text1"/>
          <w:szCs w:val="24"/>
          <w:lang w:val="en-US" w:eastAsia="ja-JP" w:bidi="ar-SA"/>
        </w:rPr>
        <w:t>Juridical Condition and Rights of the Undocumented Migrants</w:t>
      </w:r>
      <w:r w:rsidRPr="00EA796A">
        <w:rPr>
          <w:rFonts w:cs="Times New Roman"/>
          <w:bCs/>
          <w:color w:val="000000" w:themeColor="text1"/>
          <w:szCs w:val="24"/>
          <w:lang w:val="en-US" w:eastAsia="ja-JP" w:bidi="ar-SA"/>
        </w:rPr>
        <w:t xml:space="preserve"> (Advisory opinion OC-18/03), Inter-Am. Ct. H.R., Ser. A, No. 18 (17 September 2003). </w:t>
      </w:r>
      <w:r w:rsidR="00E7033E" w:rsidRPr="00EA796A">
        <w:rPr>
          <w:rFonts w:cs="Times New Roman"/>
          <w:b/>
          <w:color w:val="000000" w:themeColor="text1"/>
          <w:szCs w:val="24"/>
          <w:lang w:val="en-GB"/>
        </w:rPr>
        <w:t>(p.28)</w:t>
      </w:r>
    </w:p>
    <w:p w14:paraId="2846A859" w14:textId="77777777" w:rsidR="00BE3A14" w:rsidRPr="00EA796A" w:rsidRDefault="00BE3A14" w:rsidP="00EF5B4E">
      <w:pPr>
        <w:numPr>
          <w:ilvl w:val="0"/>
          <w:numId w:val="0"/>
        </w:numPr>
        <w:spacing w:after="0"/>
        <w:rPr>
          <w:rFonts w:cs="Times New Roman"/>
          <w:bCs/>
          <w:i/>
          <w:color w:val="000000" w:themeColor="text1"/>
          <w:szCs w:val="24"/>
          <w:u w:val="single"/>
          <w:lang w:val="en-US"/>
        </w:rPr>
      </w:pPr>
      <w:r w:rsidRPr="00EA796A">
        <w:rPr>
          <w:rFonts w:cs="Times New Roman"/>
          <w:bCs/>
          <w:i/>
          <w:color w:val="000000" w:themeColor="text1"/>
          <w:szCs w:val="24"/>
          <w:u w:val="single"/>
          <w:lang w:val="en-US"/>
        </w:rPr>
        <w:t xml:space="preserve">Contentious Cases </w:t>
      </w:r>
    </w:p>
    <w:p w14:paraId="39B53972" w14:textId="4A36E9F4"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lastRenderedPageBreak/>
        <w:t>Case of Acevedo-Jaramillo et al. v. Peru</w:t>
      </w:r>
      <w:r w:rsidRPr="00EA796A">
        <w:rPr>
          <w:rFonts w:cs="Times New Roman"/>
          <w:color w:val="000000" w:themeColor="text1"/>
          <w:szCs w:val="24"/>
          <w:lang w:val="en-US"/>
        </w:rPr>
        <w:t xml:space="preserve"> (Judgment), Inter-Am. Ct. H.R., Ser. C, No. 144, (7 February 2006).</w:t>
      </w:r>
      <w:r w:rsidR="00E7033E" w:rsidRPr="00EA796A">
        <w:rPr>
          <w:rFonts w:cs="Times New Roman"/>
          <w:color w:val="000000" w:themeColor="text1"/>
          <w:szCs w:val="24"/>
          <w:lang w:val="en-US"/>
        </w:rPr>
        <w:t xml:space="preserve"> </w:t>
      </w:r>
      <w:r w:rsidR="00E7033E" w:rsidRPr="00EA796A">
        <w:rPr>
          <w:rFonts w:cs="Times New Roman"/>
          <w:b/>
          <w:color w:val="000000" w:themeColor="text1"/>
          <w:szCs w:val="24"/>
          <w:lang w:val="en-GB"/>
        </w:rPr>
        <w:t>(p.</w:t>
      </w:r>
      <w:r w:rsidR="009030FB" w:rsidRPr="00EA796A">
        <w:rPr>
          <w:rFonts w:cs="Times New Roman"/>
          <w:b/>
          <w:color w:val="000000" w:themeColor="text1"/>
          <w:szCs w:val="24"/>
          <w:lang w:val="en-GB"/>
        </w:rPr>
        <w:t xml:space="preserve">15) </w:t>
      </w:r>
    </w:p>
    <w:p w14:paraId="78699F74" w14:textId="76024999"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Acevedo-Jaramillo et al. v. Peru</w:t>
      </w:r>
      <w:r w:rsidRPr="00EA796A">
        <w:rPr>
          <w:rFonts w:cs="Times New Roman"/>
          <w:color w:val="000000" w:themeColor="text1"/>
          <w:szCs w:val="24"/>
          <w:lang w:val="en-US"/>
        </w:rPr>
        <w:t xml:space="preserve"> (Interpretation of the Judgment), Inter-Am. Ct. H.R., Ser. C, No. 157, (24 November 2006).</w:t>
      </w:r>
      <w:r w:rsidR="004A4AF8" w:rsidRPr="00EA796A">
        <w:rPr>
          <w:rFonts w:cs="Times New Roman"/>
          <w:color w:val="000000" w:themeColor="text1"/>
          <w:szCs w:val="24"/>
          <w:lang w:val="en-US"/>
        </w:rPr>
        <w:t xml:space="preserve"> </w:t>
      </w:r>
      <w:r w:rsidR="004A4AF8" w:rsidRPr="00EA796A">
        <w:rPr>
          <w:rFonts w:cs="Times New Roman"/>
          <w:b/>
          <w:color w:val="000000" w:themeColor="text1"/>
          <w:szCs w:val="24"/>
          <w:lang w:val="en-GB"/>
        </w:rPr>
        <w:t>(p.</w:t>
      </w:r>
      <w:r w:rsidR="009030FB" w:rsidRPr="00EA796A">
        <w:rPr>
          <w:rFonts w:cs="Times New Roman"/>
          <w:b/>
          <w:color w:val="000000" w:themeColor="text1"/>
          <w:szCs w:val="24"/>
          <w:lang w:val="en-GB"/>
        </w:rPr>
        <w:t>14, 17, 31)</w:t>
      </w:r>
    </w:p>
    <w:p w14:paraId="79EB4E88" w14:textId="222613DC" w:rsidR="00BD3C49" w:rsidRPr="00EA796A" w:rsidRDefault="00BD3C49"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The Case of Afro-Descendant Communities Displaced from the Cacarica River Basin (Operation Genesis) v. Colombia</w:t>
      </w:r>
      <w:r w:rsidRPr="00EA796A">
        <w:rPr>
          <w:rFonts w:cs="Times New Roman"/>
          <w:color w:val="000000" w:themeColor="text1"/>
          <w:szCs w:val="24"/>
          <w:lang w:val="en-US"/>
        </w:rPr>
        <w:t xml:space="preserve"> (Judgment), Inter-Am. Ct. H.R., Ser. C, No. 270, (20 November 2013).</w:t>
      </w:r>
      <w:r w:rsidR="009030FB" w:rsidRPr="00EA796A">
        <w:rPr>
          <w:rFonts w:cs="Times New Roman"/>
          <w:color w:val="000000" w:themeColor="text1"/>
          <w:szCs w:val="24"/>
          <w:lang w:val="en-US"/>
        </w:rPr>
        <w:t xml:space="preserve"> </w:t>
      </w:r>
      <w:r w:rsidR="009030FB" w:rsidRPr="00EA796A">
        <w:rPr>
          <w:rFonts w:cs="Times New Roman"/>
          <w:b/>
          <w:color w:val="000000" w:themeColor="text1"/>
          <w:szCs w:val="24"/>
          <w:lang w:val="en-GB"/>
        </w:rPr>
        <w:t>(p.35)</w:t>
      </w:r>
    </w:p>
    <w:p w14:paraId="07172B91" w14:textId="08D4B38B" w:rsidR="00BE3A14" w:rsidRPr="00EA796A" w:rsidRDefault="00BE3A14" w:rsidP="00E052BE">
      <w:pPr>
        <w:numPr>
          <w:ilvl w:val="0"/>
          <w:numId w:val="0"/>
        </w:numPr>
        <w:spacing w:after="0"/>
        <w:rPr>
          <w:rFonts w:cs="Times New Roman"/>
          <w:iCs/>
          <w:color w:val="000000" w:themeColor="text1"/>
          <w:szCs w:val="24"/>
          <w:lang w:val="en-US"/>
        </w:rPr>
      </w:pPr>
      <w:r w:rsidRPr="00EA796A">
        <w:rPr>
          <w:rFonts w:cs="Times New Roman"/>
          <w:bCs/>
          <w:i/>
          <w:color w:val="000000" w:themeColor="text1"/>
          <w:szCs w:val="24"/>
          <w:lang w:val="en-US" w:eastAsia="ja-JP" w:bidi="ar-SA"/>
        </w:rPr>
        <w:t>Case</w:t>
      </w:r>
      <w:r w:rsidRPr="00EA796A">
        <w:rPr>
          <w:rFonts w:cs="Times New Roman"/>
          <w:bCs/>
          <w:color w:val="000000" w:themeColor="text1"/>
          <w:szCs w:val="24"/>
          <w:lang w:val="en-US" w:eastAsia="ja-JP" w:bidi="ar-SA"/>
        </w:rPr>
        <w:t xml:space="preserve"> </w:t>
      </w:r>
      <w:r w:rsidRPr="00EA796A">
        <w:rPr>
          <w:rFonts w:cs="Times New Roman"/>
          <w:bCs/>
          <w:i/>
          <w:color w:val="000000" w:themeColor="text1"/>
          <w:szCs w:val="24"/>
          <w:lang w:val="en-US" w:eastAsia="ja-JP" w:bidi="ar-SA"/>
        </w:rPr>
        <w:t xml:space="preserve">of </w:t>
      </w:r>
      <w:r w:rsidRPr="00EA796A">
        <w:rPr>
          <w:rFonts w:cs="Times New Roman"/>
          <w:i/>
          <w:iCs/>
          <w:color w:val="000000" w:themeColor="text1"/>
          <w:szCs w:val="24"/>
          <w:lang w:val="en-US"/>
        </w:rPr>
        <w:t>Almonacid-Arellano et al. v. Chile</w:t>
      </w:r>
      <w:r w:rsidRPr="00EA796A">
        <w:rPr>
          <w:rFonts w:cs="Times New Roman"/>
          <w:iCs/>
          <w:color w:val="000000" w:themeColor="text1"/>
          <w:szCs w:val="24"/>
          <w:lang w:val="en-US"/>
        </w:rPr>
        <w:t xml:space="preserve"> (Judgment), Inter-Am. Ct. H.R., Ser. C, No. 154, (</w:t>
      </w:r>
      <w:r w:rsidR="009030FB" w:rsidRPr="00EA796A">
        <w:rPr>
          <w:rFonts w:cs="Times New Roman"/>
          <w:iCs/>
          <w:color w:val="000000" w:themeColor="text1"/>
          <w:szCs w:val="24"/>
          <w:lang w:val="en-US"/>
        </w:rPr>
        <w:t>26 September 2006</w:t>
      </w:r>
      <w:r w:rsidRPr="00EA796A">
        <w:rPr>
          <w:rFonts w:cs="Times New Roman"/>
          <w:iCs/>
          <w:color w:val="000000" w:themeColor="text1"/>
          <w:szCs w:val="24"/>
          <w:lang w:val="en-US"/>
        </w:rPr>
        <w:t>).</w:t>
      </w:r>
      <w:r w:rsidR="009030FB" w:rsidRPr="00EA796A">
        <w:rPr>
          <w:rFonts w:cs="Times New Roman"/>
          <w:iCs/>
          <w:color w:val="000000" w:themeColor="text1"/>
          <w:szCs w:val="24"/>
          <w:lang w:val="en-US"/>
        </w:rPr>
        <w:t xml:space="preserve"> </w:t>
      </w:r>
      <w:r w:rsidR="009030FB" w:rsidRPr="00EA796A">
        <w:rPr>
          <w:rFonts w:cs="Times New Roman"/>
          <w:b/>
          <w:iCs/>
          <w:color w:val="000000" w:themeColor="text1"/>
          <w:szCs w:val="24"/>
          <w:lang w:val="en-US"/>
        </w:rPr>
        <w:t>(p.16, 21)</w:t>
      </w:r>
      <w:r w:rsidR="009030FB" w:rsidRPr="00EA796A">
        <w:rPr>
          <w:rFonts w:cs="Times New Roman"/>
          <w:iCs/>
          <w:color w:val="000000" w:themeColor="text1"/>
          <w:szCs w:val="24"/>
          <w:lang w:val="en-US"/>
        </w:rPr>
        <w:t xml:space="preserve"> </w:t>
      </w:r>
    </w:p>
    <w:p w14:paraId="1EEF080F" w14:textId="7372450F"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Anzualdo-Castro v. Peru</w:t>
      </w:r>
      <w:r w:rsidRPr="00EA796A">
        <w:rPr>
          <w:rFonts w:cs="Times New Roman"/>
          <w:color w:val="000000" w:themeColor="text1"/>
          <w:szCs w:val="24"/>
          <w:lang w:val="en-US"/>
        </w:rPr>
        <w:t xml:space="preserve"> (Judgment), Inter-Am. Ct. H.R., Ser. C, No. 202, (22 September 2009).</w:t>
      </w:r>
      <w:r w:rsidR="009030FB" w:rsidRPr="00EA796A">
        <w:rPr>
          <w:rFonts w:cs="Times New Roman"/>
          <w:color w:val="000000" w:themeColor="text1"/>
          <w:szCs w:val="24"/>
          <w:lang w:val="en-US"/>
        </w:rPr>
        <w:t xml:space="preserve"> </w:t>
      </w:r>
      <w:r w:rsidR="009030FB" w:rsidRPr="00EA796A">
        <w:rPr>
          <w:rFonts w:cs="Times New Roman"/>
          <w:b/>
          <w:iCs/>
          <w:color w:val="000000" w:themeColor="text1"/>
          <w:szCs w:val="24"/>
          <w:lang w:val="en-US"/>
        </w:rPr>
        <w:t>(p.25, 26, 31)</w:t>
      </w:r>
    </w:p>
    <w:p w14:paraId="64A08AEE" w14:textId="7CE50652"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Baldeón-García v. Peru</w:t>
      </w:r>
      <w:r w:rsidRPr="00EA796A">
        <w:rPr>
          <w:rFonts w:cs="Times New Roman"/>
          <w:color w:val="000000" w:themeColor="text1"/>
          <w:szCs w:val="24"/>
          <w:lang w:val="en-US"/>
        </w:rPr>
        <w:t xml:space="preserve"> (Judgment), Inter-Am. </w:t>
      </w:r>
      <w:r w:rsidRPr="00EA796A">
        <w:rPr>
          <w:rFonts w:cs="Times New Roman"/>
          <w:color w:val="000000" w:themeColor="text1"/>
          <w:szCs w:val="24"/>
          <w:lang w:val="pt-PT"/>
        </w:rPr>
        <w:t>Ct. H.R., Ser. C, No. 147, (6 April 2006).</w:t>
      </w:r>
      <w:r w:rsidR="009030FB" w:rsidRPr="00EA796A">
        <w:rPr>
          <w:rFonts w:cs="Times New Roman"/>
          <w:color w:val="000000" w:themeColor="text1"/>
          <w:szCs w:val="24"/>
          <w:lang w:val="pt-PT"/>
        </w:rPr>
        <w:t xml:space="preserve"> </w:t>
      </w:r>
      <w:r w:rsidR="009030FB" w:rsidRPr="00EA796A">
        <w:rPr>
          <w:rFonts w:cs="Times New Roman"/>
          <w:b/>
          <w:iCs/>
          <w:color w:val="000000" w:themeColor="text1"/>
          <w:szCs w:val="24"/>
          <w:lang w:val="en-US"/>
        </w:rPr>
        <w:t>(p. 20)</w:t>
      </w:r>
    </w:p>
    <w:p w14:paraId="7DFEA792" w14:textId="38CBE1F3"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cs="Times New Roman"/>
          <w:i/>
          <w:color w:val="000000" w:themeColor="text1"/>
          <w:szCs w:val="24"/>
          <w:lang w:val="en-US"/>
        </w:rPr>
        <w:t>Case of B</w:t>
      </w:r>
      <w:r w:rsidRPr="00EA796A">
        <w:rPr>
          <w:rFonts w:cs="Times New Roman"/>
          <w:bCs/>
          <w:i/>
          <w:color w:val="000000" w:themeColor="text1"/>
          <w:szCs w:val="24"/>
          <w:lang w:val="en-US" w:eastAsia="ja-JP" w:bidi="ar-SA"/>
        </w:rPr>
        <w:t>ámaca Velásquez v. Guatemala</w:t>
      </w:r>
      <w:r w:rsidRPr="00EA796A">
        <w:rPr>
          <w:rFonts w:cs="Times New Roman"/>
          <w:bCs/>
          <w:color w:val="000000" w:themeColor="text1"/>
          <w:szCs w:val="24"/>
          <w:lang w:val="en-US" w:eastAsia="ja-JP" w:bidi="ar-SA"/>
        </w:rPr>
        <w:t xml:space="preserve"> (Judgment), Inter-Am. Ct. H.R., Ser. C, No. 70, (25 November 2000).</w:t>
      </w:r>
      <w:r w:rsidR="009030FB" w:rsidRPr="00EA796A">
        <w:rPr>
          <w:rFonts w:cs="Times New Roman"/>
          <w:bCs/>
          <w:color w:val="000000" w:themeColor="text1"/>
          <w:szCs w:val="24"/>
          <w:lang w:val="en-US" w:eastAsia="ja-JP" w:bidi="ar-SA"/>
        </w:rPr>
        <w:t xml:space="preserve"> </w:t>
      </w:r>
      <w:r w:rsidR="009030FB" w:rsidRPr="00EA796A">
        <w:rPr>
          <w:rFonts w:cs="Times New Roman"/>
          <w:b/>
          <w:iCs/>
          <w:color w:val="000000" w:themeColor="text1"/>
          <w:szCs w:val="24"/>
          <w:lang w:val="en-US"/>
        </w:rPr>
        <w:t>(p.13, 14, 16, 23)</w:t>
      </w:r>
    </w:p>
    <w:p w14:paraId="2AAC008C" w14:textId="1D7BFDFF"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Blake v. Guatemala</w:t>
      </w:r>
      <w:r w:rsidRPr="00EA796A">
        <w:rPr>
          <w:rFonts w:cs="Times New Roman"/>
          <w:color w:val="000000" w:themeColor="text1"/>
          <w:szCs w:val="24"/>
          <w:lang w:val="en-US"/>
        </w:rPr>
        <w:t xml:space="preserve"> (Judgment), Inter-Am. </w:t>
      </w:r>
      <w:r w:rsidRPr="00EA796A">
        <w:rPr>
          <w:rFonts w:cs="Times New Roman"/>
          <w:color w:val="000000" w:themeColor="text1"/>
          <w:szCs w:val="24"/>
          <w:lang w:val="pt-PT"/>
        </w:rPr>
        <w:t>Ct. H.R., Ser. C, No. 48, (22 January 1999).</w:t>
      </w:r>
      <w:r w:rsidR="009030FB" w:rsidRPr="00EA796A">
        <w:rPr>
          <w:rFonts w:cs="Times New Roman"/>
          <w:color w:val="000000" w:themeColor="text1"/>
          <w:szCs w:val="24"/>
          <w:lang w:val="pt-PT"/>
        </w:rPr>
        <w:t xml:space="preserve"> </w:t>
      </w:r>
      <w:r w:rsidR="009030FB" w:rsidRPr="00EA796A">
        <w:rPr>
          <w:rFonts w:cs="Times New Roman"/>
          <w:b/>
          <w:iCs/>
          <w:color w:val="000000" w:themeColor="text1"/>
          <w:szCs w:val="24"/>
          <w:lang w:val="en-US"/>
        </w:rPr>
        <w:t>(p.27, 39)</w:t>
      </w:r>
    </w:p>
    <w:p w14:paraId="239DD66C" w14:textId="4B32F2E6"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Boyce et al. v. Barbados</w:t>
      </w:r>
      <w:r w:rsidRPr="00EA796A">
        <w:rPr>
          <w:rFonts w:cs="Times New Roman"/>
          <w:color w:val="000000" w:themeColor="text1"/>
          <w:szCs w:val="24"/>
          <w:lang w:val="en-US"/>
        </w:rPr>
        <w:t xml:space="preserve"> (Judgment), Inter-Am. </w:t>
      </w:r>
      <w:r w:rsidRPr="00EA796A">
        <w:rPr>
          <w:rFonts w:cs="Times New Roman"/>
          <w:color w:val="000000" w:themeColor="text1"/>
          <w:szCs w:val="24"/>
          <w:lang w:val="pt-PT"/>
        </w:rPr>
        <w:t>Ct. H.R., Ser. C, No. 169 (20 November 2007).</w:t>
      </w:r>
      <w:r w:rsidR="009030FB" w:rsidRPr="00EA796A">
        <w:rPr>
          <w:rFonts w:cs="Times New Roman"/>
          <w:color w:val="000000" w:themeColor="text1"/>
          <w:szCs w:val="24"/>
          <w:lang w:val="pt-PT"/>
        </w:rPr>
        <w:t xml:space="preserve"> </w:t>
      </w:r>
      <w:r w:rsidR="009030FB" w:rsidRPr="00EA796A">
        <w:rPr>
          <w:rFonts w:cs="Times New Roman"/>
          <w:b/>
          <w:iCs/>
          <w:color w:val="000000" w:themeColor="text1"/>
          <w:szCs w:val="24"/>
          <w:lang w:val="en-US"/>
        </w:rPr>
        <w:t>(p.31)</w:t>
      </w:r>
    </w:p>
    <w:p w14:paraId="7937C5B9" w14:textId="230A1F96"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Bueno Alves v. Argentina</w:t>
      </w:r>
      <w:r w:rsidRPr="00EA796A">
        <w:rPr>
          <w:rFonts w:cs="Times New Roman"/>
          <w:color w:val="000000" w:themeColor="text1"/>
          <w:szCs w:val="24"/>
          <w:lang w:val="en-US"/>
        </w:rPr>
        <w:t xml:space="preserve"> (Judgment), Inter-Am. Ct. H.R., Ser. C, No. 164, (11 May 2007).</w:t>
      </w:r>
      <w:r w:rsidR="009030FB" w:rsidRPr="00EA796A">
        <w:rPr>
          <w:rFonts w:cs="Times New Roman"/>
          <w:color w:val="000000" w:themeColor="text1"/>
          <w:szCs w:val="24"/>
          <w:lang w:val="en-US"/>
        </w:rPr>
        <w:t xml:space="preserve"> </w:t>
      </w:r>
      <w:r w:rsidR="009030FB" w:rsidRPr="00EA796A">
        <w:rPr>
          <w:rFonts w:cs="Times New Roman"/>
          <w:b/>
          <w:iCs/>
          <w:color w:val="000000" w:themeColor="text1"/>
          <w:szCs w:val="24"/>
          <w:lang w:val="en-US"/>
        </w:rPr>
        <w:t>(p.31)</w:t>
      </w:r>
    </w:p>
    <w:p w14:paraId="6BA937E6" w14:textId="16F71795"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 xml:space="preserve">Case of Cabrera García &amp; Montiel Flores v. Mexico </w:t>
      </w:r>
      <w:r w:rsidRPr="00EA796A">
        <w:rPr>
          <w:rFonts w:cs="Times New Roman"/>
          <w:color w:val="000000" w:themeColor="text1"/>
          <w:szCs w:val="24"/>
          <w:lang w:val="en-US"/>
        </w:rPr>
        <w:t xml:space="preserve">(Judgment), Inter-Am. Ct. H.R., </w:t>
      </w:r>
      <w:r w:rsidRPr="00EA796A">
        <w:rPr>
          <w:rStyle w:val="st"/>
          <w:rFonts w:cs="Times New Roman"/>
          <w:color w:val="000000" w:themeColor="text1"/>
          <w:szCs w:val="24"/>
          <w:lang w:val="en-GB"/>
        </w:rPr>
        <w:t>Ser. C, No. 220,</w:t>
      </w:r>
      <w:r w:rsidRPr="00EA796A">
        <w:rPr>
          <w:rFonts w:cs="Times New Roman"/>
          <w:color w:val="000000" w:themeColor="text1"/>
          <w:szCs w:val="24"/>
          <w:lang w:val="en-US"/>
        </w:rPr>
        <w:t xml:space="preserve"> (26 November 2010).</w:t>
      </w:r>
      <w:r w:rsidR="009030FB" w:rsidRPr="00EA796A">
        <w:rPr>
          <w:rFonts w:cs="Times New Roman"/>
          <w:color w:val="000000" w:themeColor="text1"/>
          <w:szCs w:val="24"/>
          <w:lang w:val="en-US"/>
        </w:rPr>
        <w:t xml:space="preserve"> </w:t>
      </w:r>
      <w:r w:rsidR="009030FB" w:rsidRPr="00EA796A">
        <w:rPr>
          <w:rFonts w:cs="Times New Roman"/>
          <w:b/>
          <w:iCs/>
          <w:color w:val="000000" w:themeColor="text1"/>
          <w:szCs w:val="24"/>
          <w:lang w:val="en-US"/>
        </w:rPr>
        <w:t>(p.14)</w:t>
      </w:r>
    </w:p>
    <w:p w14:paraId="05165366" w14:textId="5A4ED8F5" w:rsidR="00BE3A14" w:rsidRPr="00EA796A" w:rsidRDefault="00BE3A14" w:rsidP="00E052BE">
      <w:pPr>
        <w:numPr>
          <w:ilvl w:val="0"/>
          <w:numId w:val="0"/>
        </w:numPr>
        <w:spacing w:after="0"/>
        <w:rPr>
          <w:rFonts w:cs="Times New Roman"/>
          <w:bCs/>
          <w:color w:val="000000" w:themeColor="text1"/>
          <w:szCs w:val="24"/>
          <w:lang w:val="en-US"/>
        </w:rPr>
      </w:pPr>
      <w:r w:rsidRPr="00EA796A">
        <w:rPr>
          <w:rFonts w:cs="Times New Roman"/>
          <w:bCs/>
          <w:i/>
          <w:color w:val="000000" w:themeColor="text1"/>
          <w:szCs w:val="24"/>
          <w:lang w:val="en-US"/>
        </w:rPr>
        <w:lastRenderedPageBreak/>
        <w:t xml:space="preserve">Case of Cayara v. Peru </w:t>
      </w:r>
      <w:r w:rsidRPr="00EA796A">
        <w:rPr>
          <w:rFonts w:cs="Times New Roman"/>
          <w:bCs/>
          <w:color w:val="000000" w:themeColor="text1"/>
          <w:szCs w:val="24"/>
          <w:lang w:val="en-US"/>
        </w:rPr>
        <w:t>(Judgment), Inter-Am. Ct. H.R., Ser. C, No. 14, (3 February 1993).</w:t>
      </w:r>
      <w:r w:rsidR="009030FB" w:rsidRPr="00EA796A">
        <w:rPr>
          <w:rFonts w:cs="Times New Roman"/>
          <w:b/>
          <w:iCs/>
          <w:color w:val="000000" w:themeColor="text1"/>
          <w:szCs w:val="24"/>
          <w:lang w:val="en-US"/>
        </w:rPr>
        <w:t xml:space="preserve"> (p.17)</w:t>
      </w:r>
    </w:p>
    <w:p w14:paraId="448A3570" w14:textId="140BABEC" w:rsidR="00BE3A14" w:rsidRPr="00EA796A" w:rsidRDefault="00BE3A14" w:rsidP="00E052BE">
      <w:pPr>
        <w:numPr>
          <w:ilvl w:val="0"/>
          <w:numId w:val="0"/>
        </w:numPr>
        <w:spacing w:after="0"/>
        <w:rPr>
          <w:rFonts w:cs="Times New Roman"/>
          <w:iCs/>
          <w:color w:val="000000" w:themeColor="text1"/>
          <w:szCs w:val="24"/>
          <w:lang w:val="en-US"/>
        </w:rPr>
      </w:pPr>
      <w:r w:rsidRPr="00EA796A">
        <w:rPr>
          <w:rFonts w:cs="Times New Roman"/>
          <w:i/>
          <w:iCs/>
          <w:color w:val="000000" w:themeColor="text1"/>
          <w:szCs w:val="24"/>
          <w:lang w:val="en-US"/>
        </w:rPr>
        <w:t>Case of Chitay Nech et al. v. Guatemala</w:t>
      </w:r>
      <w:r w:rsidRPr="00EA796A">
        <w:rPr>
          <w:rFonts w:cs="Times New Roman"/>
          <w:iCs/>
          <w:color w:val="000000" w:themeColor="text1"/>
          <w:szCs w:val="24"/>
          <w:lang w:val="en-US"/>
        </w:rPr>
        <w:t xml:space="preserve"> (Judgment), Inter-Am. </w:t>
      </w:r>
      <w:r w:rsidRPr="00EA796A">
        <w:rPr>
          <w:rFonts w:cs="Times New Roman"/>
          <w:iCs/>
          <w:color w:val="000000" w:themeColor="text1"/>
          <w:szCs w:val="24"/>
          <w:lang w:val="pt-PT"/>
        </w:rPr>
        <w:t>Ct. H.R., Ser. C, No. 212, (25 May 2010).</w:t>
      </w:r>
      <w:r w:rsidR="009030FB" w:rsidRPr="00EA796A">
        <w:rPr>
          <w:rFonts w:cs="Times New Roman"/>
          <w:iCs/>
          <w:color w:val="000000" w:themeColor="text1"/>
          <w:szCs w:val="24"/>
          <w:lang w:val="pt-PT"/>
        </w:rPr>
        <w:t xml:space="preserve"> </w:t>
      </w:r>
      <w:r w:rsidR="009030FB" w:rsidRPr="00EA796A">
        <w:rPr>
          <w:rFonts w:cs="Times New Roman"/>
          <w:b/>
          <w:iCs/>
          <w:color w:val="000000" w:themeColor="text1"/>
          <w:szCs w:val="24"/>
          <w:lang w:val="en-US"/>
        </w:rPr>
        <w:t>(p.16)</w:t>
      </w:r>
    </w:p>
    <w:p w14:paraId="0530EB2C" w14:textId="32DB5B69"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cs="Times New Roman"/>
          <w:i/>
          <w:color w:val="000000" w:themeColor="text1"/>
          <w:szCs w:val="24"/>
          <w:lang w:val="en-US"/>
        </w:rPr>
        <w:t xml:space="preserve">Case of </w:t>
      </w:r>
      <w:r w:rsidRPr="00EA796A">
        <w:rPr>
          <w:rFonts w:cs="Times New Roman"/>
          <w:bCs/>
          <w:i/>
          <w:color w:val="000000" w:themeColor="text1"/>
          <w:szCs w:val="24"/>
          <w:lang w:val="en-US" w:eastAsia="ja-JP" w:bidi="ar-SA"/>
        </w:rPr>
        <w:t>Díaz Peña v. Venezuela</w:t>
      </w:r>
      <w:r w:rsidRPr="00EA796A">
        <w:rPr>
          <w:rFonts w:cs="Times New Roman"/>
          <w:bCs/>
          <w:color w:val="000000" w:themeColor="text1"/>
          <w:szCs w:val="24"/>
          <w:lang w:val="en-US" w:eastAsia="ja-JP" w:bidi="ar-SA"/>
        </w:rPr>
        <w:t xml:space="preserve"> (Judgment), Inter-Am. </w:t>
      </w:r>
      <w:r w:rsidRPr="00EA796A">
        <w:rPr>
          <w:rFonts w:cs="Times New Roman"/>
          <w:bCs/>
          <w:color w:val="000000" w:themeColor="text1"/>
          <w:szCs w:val="24"/>
          <w:lang w:val="pt-PT" w:eastAsia="ja-JP" w:bidi="ar-SA"/>
        </w:rPr>
        <w:t>Ct. H.R., Ser. C, No. 244, (26 June 2012).</w:t>
      </w:r>
      <w:r w:rsidR="009030FB" w:rsidRPr="00EA796A">
        <w:rPr>
          <w:rFonts w:cs="Times New Roman"/>
          <w:bCs/>
          <w:color w:val="000000" w:themeColor="text1"/>
          <w:szCs w:val="24"/>
          <w:lang w:val="pt-PT" w:eastAsia="ja-JP" w:bidi="ar-SA"/>
        </w:rPr>
        <w:t xml:space="preserve"> </w:t>
      </w:r>
      <w:r w:rsidR="009030FB" w:rsidRPr="00EA796A">
        <w:rPr>
          <w:rFonts w:cs="Times New Roman"/>
          <w:b/>
          <w:iCs/>
          <w:color w:val="000000" w:themeColor="text1"/>
          <w:szCs w:val="24"/>
          <w:lang w:val="en-US"/>
        </w:rPr>
        <w:t>(p.15, 18)</w:t>
      </w:r>
    </w:p>
    <w:p w14:paraId="40BAB686" w14:textId="3B494C73"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 xml:space="preserve">Case of El Amparo v. Venezuela </w:t>
      </w:r>
      <w:r w:rsidRPr="00EA796A">
        <w:rPr>
          <w:rFonts w:cs="Times New Roman"/>
          <w:color w:val="000000" w:themeColor="text1"/>
          <w:szCs w:val="24"/>
          <w:lang w:val="en-US"/>
        </w:rPr>
        <w:t>(Judgment), Inter-Am. Ct. H.R., Ser. C, No. 28, (24 September 1996).</w:t>
      </w:r>
      <w:r w:rsidR="009030FB" w:rsidRPr="00EA796A">
        <w:rPr>
          <w:rFonts w:cs="Times New Roman"/>
          <w:color w:val="000000" w:themeColor="text1"/>
          <w:szCs w:val="24"/>
          <w:lang w:val="en-US"/>
        </w:rPr>
        <w:t xml:space="preserve"> </w:t>
      </w:r>
      <w:r w:rsidR="009030FB" w:rsidRPr="00EA796A">
        <w:rPr>
          <w:rFonts w:cs="Times New Roman"/>
          <w:b/>
          <w:iCs/>
          <w:color w:val="000000" w:themeColor="text1"/>
          <w:szCs w:val="24"/>
          <w:lang w:val="en-US"/>
        </w:rPr>
        <w:t>(p.27)</w:t>
      </w:r>
    </w:p>
    <w:p w14:paraId="55F90DB7" w14:textId="75B99679"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eastAsia="Times New Roman" w:cs="Times New Roman"/>
          <w:bCs/>
          <w:i/>
          <w:color w:val="000000" w:themeColor="text1"/>
          <w:szCs w:val="24"/>
          <w:lang w:val="en-US"/>
        </w:rPr>
        <w:t xml:space="preserve">Case of </w:t>
      </w:r>
      <w:r w:rsidRPr="00EA796A">
        <w:rPr>
          <w:rFonts w:cs="Times New Roman"/>
          <w:bCs/>
          <w:i/>
          <w:color w:val="000000" w:themeColor="text1"/>
          <w:szCs w:val="24"/>
          <w:lang w:val="en-US" w:eastAsia="ja-JP" w:bidi="ar-SA"/>
        </w:rPr>
        <w:t>Fairén Garbi and Solís Corrales v. Honduras</w:t>
      </w:r>
      <w:r w:rsidRPr="00EA796A">
        <w:rPr>
          <w:rFonts w:cs="Times New Roman"/>
          <w:bCs/>
          <w:color w:val="000000" w:themeColor="text1"/>
          <w:szCs w:val="24"/>
          <w:lang w:val="en-US" w:eastAsia="ja-JP" w:bidi="ar-SA"/>
        </w:rPr>
        <w:t xml:space="preserve"> (Judgment), Inter-Am. Ct. H.R., Ser. C, No. 6, (15 March 1989).</w:t>
      </w:r>
      <w:r w:rsidR="009030FB" w:rsidRPr="00EA796A">
        <w:rPr>
          <w:rFonts w:cs="Times New Roman"/>
          <w:bCs/>
          <w:color w:val="000000" w:themeColor="text1"/>
          <w:szCs w:val="24"/>
          <w:lang w:val="en-US" w:eastAsia="ja-JP" w:bidi="ar-SA"/>
        </w:rPr>
        <w:t xml:space="preserve"> </w:t>
      </w:r>
      <w:r w:rsidR="009030FB" w:rsidRPr="00EA796A">
        <w:rPr>
          <w:rFonts w:cs="Times New Roman"/>
          <w:b/>
          <w:iCs/>
          <w:color w:val="000000" w:themeColor="text1"/>
          <w:szCs w:val="24"/>
          <w:lang w:val="en-US"/>
        </w:rPr>
        <w:t>(p.16)</w:t>
      </w:r>
    </w:p>
    <w:p w14:paraId="4E9019EB" w14:textId="4965FDB1" w:rsidR="00BE3A14" w:rsidRPr="00EA796A" w:rsidRDefault="00BE3A14" w:rsidP="00E052BE">
      <w:pPr>
        <w:numPr>
          <w:ilvl w:val="0"/>
          <w:numId w:val="0"/>
        </w:numPr>
        <w:spacing w:after="0"/>
        <w:rPr>
          <w:rFonts w:cs="Times New Roman"/>
          <w:bCs/>
          <w:color w:val="000000" w:themeColor="text1"/>
          <w:szCs w:val="24"/>
          <w:lang w:val="en-US"/>
        </w:rPr>
      </w:pPr>
      <w:r w:rsidRPr="00EA796A">
        <w:rPr>
          <w:rFonts w:cs="Times New Roman"/>
          <w:bCs/>
          <w:i/>
          <w:color w:val="000000" w:themeColor="text1"/>
          <w:szCs w:val="24"/>
          <w:lang w:val="en-US"/>
        </w:rPr>
        <w:t>Case of Furlan and Family v. Argentina</w:t>
      </w:r>
      <w:r w:rsidRPr="00EA796A">
        <w:rPr>
          <w:rFonts w:cs="Times New Roman"/>
          <w:bCs/>
          <w:color w:val="000000" w:themeColor="text1"/>
          <w:szCs w:val="24"/>
          <w:lang w:val="en-US"/>
        </w:rPr>
        <w:t xml:space="preserve"> (Judgment), Inter-Am. </w:t>
      </w:r>
      <w:r w:rsidRPr="00EA796A">
        <w:rPr>
          <w:rFonts w:cs="Times New Roman"/>
          <w:bCs/>
          <w:color w:val="000000" w:themeColor="text1"/>
          <w:szCs w:val="24"/>
          <w:lang w:val="pt-PT"/>
        </w:rPr>
        <w:t>Ct. H.R., Ser. C, No. 246 (31 August 2012).</w:t>
      </w:r>
      <w:r w:rsidR="009030FB" w:rsidRPr="00EA796A">
        <w:rPr>
          <w:rFonts w:cs="Times New Roman"/>
          <w:bCs/>
          <w:color w:val="000000" w:themeColor="text1"/>
          <w:szCs w:val="24"/>
          <w:lang w:val="pt-PT"/>
        </w:rPr>
        <w:t xml:space="preserve"> </w:t>
      </w:r>
      <w:r w:rsidR="009030FB" w:rsidRPr="00EA796A">
        <w:rPr>
          <w:rFonts w:cs="Times New Roman"/>
          <w:b/>
          <w:iCs/>
          <w:color w:val="000000" w:themeColor="text1"/>
          <w:szCs w:val="24"/>
          <w:lang w:val="en-US"/>
        </w:rPr>
        <w:t>(p.18)</w:t>
      </w:r>
    </w:p>
    <w:p w14:paraId="093F308E" w14:textId="3E6EDD44"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cs="Times New Roman"/>
          <w:i/>
          <w:color w:val="000000" w:themeColor="text1"/>
          <w:szCs w:val="24"/>
          <w:lang w:val="en-US"/>
        </w:rPr>
        <w:t xml:space="preserve">Case of </w:t>
      </w:r>
      <w:r w:rsidRPr="00EA796A">
        <w:rPr>
          <w:rFonts w:cs="Times New Roman"/>
          <w:bCs/>
          <w:i/>
          <w:color w:val="000000" w:themeColor="text1"/>
          <w:szCs w:val="24"/>
          <w:lang w:val="en-US" w:eastAsia="ja-JP" w:bidi="ar-SA"/>
        </w:rPr>
        <w:t xml:space="preserve">García and Family </w:t>
      </w:r>
      <w:r w:rsidR="00DA1359" w:rsidRPr="00EA796A">
        <w:rPr>
          <w:rFonts w:cs="Times New Roman"/>
          <w:bCs/>
          <w:i/>
          <w:color w:val="000000" w:themeColor="text1"/>
          <w:szCs w:val="24"/>
          <w:lang w:val="en-US" w:eastAsia="ja-JP" w:bidi="ar-SA"/>
        </w:rPr>
        <w:t xml:space="preserve">Members </w:t>
      </w:r>
      <w:r w:rsidRPr="00EA796A">
        <w:rPr>
          <w:rFonts w:cs="Times New Roman"/>
          <w:bCs/>
          <w:i/>
          <w:color w:val="000000" w:themeColor="text1"/>
          <w:szCs w:val="24"/>
          <w:lang w:val="en-US" w:eastAsia="ja-JP" w:bidi="ar-SA"/>
        </w:rPr>
        <w:t>v. Guatemala</w:t>
      </w:r>
      <w:r w:rsidRPr="00EA796A">
        <w:rPr>
          <w:rFonts w:cs="Times New Roman"/>
          <w:bCs/>
          <w:color w:val="000000" w:themeColor="text1"/>
          <w:szCs w:val="24"/>
          <w:lang w:val="en-US" w:eastAsia="ja-JP" w:bidi="ar-SA"/>
        </w:rPr>
        <w:t xml:space="preserve"> (Judgment), Inter-Am. Ct. H.R., Ser. C, No. 258, (29 November 2012).</w:t>
      </w:r>
      <w:r w:rsidR="009030FB" w:rsidRPr="00EA796A">
        <w:rPr>
          <w:rFonts w:cs="Times New Roman"/>
          <w:bCs/>
          <w:color w:val="000000" w:themeColor="text1"/>
          <w:szCs w:val="24"/>
          <w:lang w:val="en-US" w:eastAsia="ja-JP" w:bidi="ar-SA"/>
        </w:rPr>
        <w:t xml:space="preserve"> </w:t>
      </w:r>
      <w:r w:rsidR="009030FB" w:rsidRPr="00EA796A">
        <w:rPr>
          <w:rFonts w:cs="Times New Roman"/>
          <w:b/>
          <w:iCs/>
          <w:color w:val="000000" w:themeColor="text1"/>
          <w:szCs w:val="24"/>
          <w:lang w:val="en-US"/>
        </w:rPr>
        <w:t>(p.24, 25)</w:t>
      </w:r>
    </w:p>
    <w:p w14:paraId="58366571" w14:textId="2651FECD"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Gelman v. Uruguay</w:t>
      </w:r>
      <w:r w:rsidRPr="00EA796A">
        <w:rPr>
          <w:rFonts w:cs="Times New Roman"/>
          <w:color w:val="000000" w:themeColor="text1"/>
          <w:szCs w:val="24"/>
          <w:lang w:val="en-US"/>
        </w:rPr>
        <w:t xml:space="preserve"> (Judgment), Inter-Am. Ct. H.R., Ser. C, No. 221 (24 February 2011).</w:t>
      </w:r>
      <w:r w:rsidR="009030FB" w:rsidRPr="00EA796A">
        <w:rPr>
          <w:rFonts w:cs="Times New Roman"/>
          <w:color w:val="000000" w:themeColor="text1"/>
          <w:szCs w:val="24"/>
          <w:lang w:val="en-US"/>
        </w:rPr>
        <w:t xml:space="preserve"> </w:t>
      </w:r>
      <w:r w:rsidR="009030FB" w:rsidRPr="00EA796A">
        <w:rPr>
          <w:rFonts w:cs="Times New Roman"/>
          <w:b/>
          <w:iCs/>
          <w:color w:val="000000" w:themeColor="text1"/>
          <w:szCs w:val="24"/>
          <w:lang w:val="en-US"/>
        </w:rPr>
        <w:t>(p.16, 21, 22, 26)</w:t>
      </w:r>
    </w:p>
    <w:p w14:paraId="0CDA0E9A" w14:textId="407D09E7" w:rsidR="007D2F0F" w:rsidRPr="00EA796A" w:rsidRDefault="007D2F0F" w:rsidP="00E052BE">
      <w:pPr>
        <w:numPr>
          <w:ilvl w:val="0"/>
          <w:numId w:val="0"/>
        </w:numPr>
        <w:spacing w:after="0"/>
        <w:rPr>
          <w:rFonts w:eastAsia="Times New Roman" w:cs="Times New Roman"/>
          <w:bCs/>
          <w:color w:val="000000" w:themeColor="text1"/>
          <w:szCs w:val="24"/>
          <w:lang w:val="en-US"/>
        </w:rPr>
      </w:pPr>
      <w:r w:rsidRPr="00EA796A">
        <w:rPr>
          <w:rFonts w:eastAsia="Times New Roman" w:cs="Times New Roman"/>
          <w:bCs/>
          <w:i/>
          <w:color w:val="000000" w:themeColor="text1"/>
          <w:szCs w:val="24"/>
          <w:lang w:val="en-US"/>
        </w:rPr>
        <w:t xml:space="preserve">Case of Godínez-Cruz </w:t>
      </w:r>
      <w:r w:rsidRPr="00EA796A">
        <w:rPr>
          <w:rFonts w:eastAsia="Times New Roman" w:cs="Times New Roman"/>
          <w:bCs/>
          <w:i/>
          <w:iCs/>
          <w:color w:val="000000" w:themeColor="text1"/>
          <w:szCs w:val="24"/>
          <w:lang w:val="en-US"/>
        </w:rPr>
        <w:t xml:space="preserve">v. </w:t>
      </w:r>
      <w:r w:rsidRPr="00EA796A">
        <w:rPr>
          <w:rFonts w:eastAsia="Times New Roman" w:cs="Times New Roman"/>
          <w:bCs/>
          <w:i/>
          <w:color w:val="000000" w:themeColor="text1"/>
          <w:szCs w:val="24"/>
          <w:lang w:val="en-US"/>
        </w:rPr>
        <w:t>Honduras</w:t>
      </w:r>
      <w:r w:rsidRPr="00EA796A">
        <w:rPr>
          <w:rFonts w:eastAsia="Times New Roman" w:cs="Times New Roman"/>
          <w:bCs/>
          <w:color w:val="000000" w:themeColor="text1"/>
          <w:szCs w:val="24"/>
          <w:lang w:val="en-US"/>
        </w:rPr>
        <w:t xml:space="preserve"> (Judgment), Inter-Am. </w:t>
      </w:r>
      <w:r w:rsidRPr="00EA796A">
        <w:rPr>
          <w:rFonts w:eastAsia="Times New Roman" w:cs="Times New Roman"/>
          <w:bCs/>
          <w:color w:val="000000" w:themeColor="text1"/>
          <w:szCs w:val="24"/>
          <w:lang w:val="pt-PT"/>
        </w:rPr>
        <w:t>Ct. H.R., Ser. C, No.5 , (20 January 1989).</w:t>
      </w:r>
      <w:r w:rsidR="009030FB" w:rsidRPr="00EA796A">
        <w:rPr>
          <w:rFonts w:eastAsia="Times New Roman" w:cs="Times New Roman"/>
          <w:bCs/>
          <w:color w:val="000000" w:themeColor="text1"/>
          <w:szCs w:val="24"/>
          <w:lang w:val="pt-PT"/>
        </w:rPr>
        <w:t xml:space="preserve"> </w:t>
      </w:r>
      <w:r w:rsidR="009030FB" w:rsidRPr="00EA796A">
        <w:rPr>
          <w:rFonts w:cs="Times New Roman"/>
          <w:b/>
          <w:iCs/>
          <w:color w:val="000000" w:themeColor="text1"/>
          <w:szCs w:val="24"/>
          <w:lang w:val="en-US"/>
        </w:rPr>
        <w:t>(p.16)</w:t>
      </w:r>
    </w:p>
    <w:p w14:paraId="27E866A3" w14:textId="60BDB553"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 xml:space="preserve">Case of Goiburú et al. v. Paraguay </w:t>
      </w:r>
      <w:r w:rsidRPr="00EA796A">
        <w:rPr>
          <w:rFonts w:cs="Times New Roman"/>
          <w:color w:val="000000" w:themeColor="text1"/>
          <w:szCs w:val="24"/>
          <w:lang w:val="en-US"/>
        </w:rPr>
        <w:t>(Judgment), Inter-Am. Ct. H.R., Ser. C, No. 153, (22 September 2006).</w:t>
      </w:r>
      <w:r w:rsidR="009030FB" w:rsidRPr="00EA796A">
        <w:rPr>
          <w:rFonts w:cs="Times New Roman"/>
          <w:color w:val="000000" w:themeColor="text1"/>
          <w:szCs w:val="24"/>
          <w:lang w:val="en-US"/>
        </w:rPr>
        <w:t xml:space="preserve"> </w:t>
      </w:r>
      <w:r w:rsidR="009030FB" w:rsidRPr="00EA796A">
        <w:rPr>
          <w:rFonts w:cs="Times New Roman"/>
          <w:b/>
          <w:iCs/>
          <w:color w:val="000000" w:themeColor="text1"/>
          <w:szCs w:val="24"/>
          <w:lang w:val="en-US"/>
        </w:rPr>
        <w:t>(p.21)</w:t>
      </w:r>
    </w:p>
    <w:p w14:paraId="19B653B5" w14:textId="2C8671E5"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 xml:space="preserve">Case of Gomes Lund et al. </w:t>
      </w:r>
      <w:r w:rsidRPr="00EA796A">
        <w:rPr>
          <w:rFonts w:cs="Times New Roman"/>
          <w:i/>
          <w:color w:val="000000" w:themeColor="text1"/>
          <w:szCs w:val="24"/>
          <w:lang w:val="pt-PT"/>
        </w:rPr>
        <w:t>(“Guerrilha do Araguaia”) v. Brazil</w:t>
      </w:r>
      <w:r w:rsidRPr="00EA796A">
        <w:rPr>
          <w:rFonts w:cs="Times New Roman"/>
          <w:color w:val="000000" w:themeColor="text1"/>
          <w:szCs w:val="24"/>
          <w:lang w:val="pt-PT"/>
        </w:rPr>
        <w:t xml:space="preserve"> (Judgment), Inter-Am. </w:t>
      </w:r>
      <w:r w:rsidRPr="00EA796A">
        <w:rPr>
          <w:rFonts w:cs="Times New Roman"/>
          <w:color w:val="000000" w:themeColor="text1"/>
          <w:szCs w:val="24"/>
          <w:lang w:val="en-US"/>
        </w:rPr>
        <w:t>Ct. H.R., Ser. C, No. 219, (24 November 2010).</w:t>
      </w:r>
      <w:r w:rsidR="009030FB" w:rsidRPr="00EA796A">
        <w:rPr>
          <w:rFonts w:cs="Times New Roman"/>
          <w:color w:val="000000" w:themeColor="text1"/>
          <w:szCs w:val="24"/>
          <w:lang w:val="en-US"/>
        </w:rPr>
        <w:t xml:space="preserve"> </w:t>
      </w:r>
      <w:r w:rsidR="009030FB" w:rsidRPr="00EA796A">
        <w:rPr>
          <w:rFonts w:cs="Times New Roman"/>
          <w:b/>
          <w:iCs/>
          <w:color w:val="000000" w:themeColor="text1"/>
          <w:szCs w:val="24"/>
          <w:lang w:val="en-US"/>
        </w:rPr>
        <w:t>(p.33)</w:t>
      </w:r>
    </w:p>
    <w:p w14:paraId="02B60E17" w14:textId="1A5BB200"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bCs/>
          <w:i/>
          <w:color w:val="000000" w:themeColor="text1"/>
          <w:szCs w:val="24"/>
          <w:lang w:val="en-US"/>
        </w:rPr>
        <w:t xml:space="preserve">Case of </w:t>
      </w:r>
      <w:r w:rsidRPr="00EA796A">
        <w:rPr>
          <w:rFonts w:cs="Times New Roman"/>
          <w:i/>
          <w:color w:val="000000" w:themeColor="text1"/>
          <w:szCs w:val="24"/>
          <w:lang w:val="en-US"/>
        </w:rPr>
        <w:t>Gómez Palomino v. Peru</w:t>
      </w:r>
      <w:r w:rsidRPr="00EA796A">
        <w:rPr>
          <w:rFonts w:cs="Times New Roman"/>
          <w:color w:val="000000" w:themeColor="text1"/>
          <w:szCs w:val="24"/>
          <w:lang w:val="en-US"/>
        </w:rPr>
        <w:t xml:space="preserve"> (Judgment), Inter-Am. </w:t>
      </w:r>
      <w:r w:rsidRPr="00EA796A">
        <w:rPr>
          <w:rFonts w:cs="Times New Roman"/>
          <w:color w:val="000000" w:themeColor="text1"/>
          <w:szCs w:val="24"/>
          <w:lang w:val="pt-PT"/>
        </w:rPr>
        <w:t xml:space="preserve">Ct. H.R., Ser. </w:t>
      </w:r>
      <w:r w:rsidRPr="00EA796A">
        <w:rPr>
          <w:rFonts w:cs="Times New Roman"/>
          <w:color w:val="000000" w:themeColor="text1"/>
          <w:szCs w:val="24"/>
          <w:lang w:val="pt-BR"/>
        </w:rPr>
        <w:t>C, No. 136, (22 November 2005).</w:t>
      </w:r>
      <w:r w:rsidR="009030FB" w:rsidRPr="00EA796A">
        <w:rPr>
          <w:rFonts w:cs="Times New Roman"/>
          <w:color w:val="000000" w:themeColor="text1"/>
          <w:szCs w:val="24"/>
          <w:lang w:val="pt-BR"/>
        </w:rPr>
        <w:t xml:space="preserve"> </w:t>
      </w:r>
      <w:r w:rsidR="009030FB" w:rsidRPr="00EA796A">
        <w:rPr>
          <w:rFonts w:cs="Times New Roman"/>
          <w:b/>
          <w:iCs/>
          <w:color w:val="000000" w:themeColor="text1"/>
          <w:szCs w:val="24"/>
          <w:lang w:val="en-US"/>
        </w:rPr>
        <w:t>(p.26, 28)</w:t>
      </w:r>
    </w:p>
    <w:p w14:paraId="1D4738D6" w14:textId="64582507"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lastRenderedPageBreak/>
        <w:t xml:space="preserve">Case of González et al. (“Cotton Field”) v. Mexico </w:t>
      </w:r>
      <w:r w:rsidRPr="00EA796A">
        <w:rPr>
          <w:rFonts w:cs="Times New Roman"/>
          <w:color w:val="000000" w:themeColor="text1"/>
          <w:szCs w:val="24"/>
          <w:lang w:val="en-US"/>
        </w:rPr>
        <w:t>(Judgment), Inter-Am. Ct. H.R., Ser. C, No. 205, (16 November 2009).</w:t>
      </w:r>
      <w:r w:rsidR="009030FB" w:rsidRPr="00EA796A">
        <w:rPr>
          <w:rFonts w:cs="Times New Roman"/>
          <w:color w:val="000000" w:themeColor="text1"/>
          <w:szCs w:val="24"/>
          <w:lang w:val="en-US"/>
        </w:rPr>
        <w:t xml:space="preserve"> </w:t>
      </w:r>
      <w:r w:rsidR="009030FB" w:rsidRPr="00EA796A">
        <w:rPr>
          <w:rFonts w:cs="Times New Roman"/>
          <w:b/>
          <w:iCs/>
          <w:color w:val="000000" w:themeColor="text1"/>
          <w:szCs w:val="24"/>
          <w:lang w:val="en-US"/>
        </w:rPr>
        <w:t>(p.27, 39)</w:t>
      </w:r>
    </w:p>
    <w:p w14:paraId="505C313A" w14:textId="18460CFE" w:rsidR="00BE3A14" w:rsidRPr="00EA796A" w:rsidRDefault="00BE3A14" w:rsidP="00E052BE">
      <w:pPr>
        <w:numPr>
          <w:ilvl w:val="0"/>
          <w:numId w:val="0"/>
        </w:numPr>
        <w:spacing w:after="0"/>
        <w:rPr>
          <w:rFonts w:cs="Times New Roman"/>
          <w:bCs/>
          <w:color w:val="000000" w:themeColor="text1"/>
          <w:szCs w:val="24"/>
          <w:lang w:val="en-US"/>
        </w:rPr>
      </w:pPr>
      <w:r w:rsidRPr="00EA796A">
        <w:rPr>
          <w:rFonts w:cs="Times New Roman"/>
          <w:bCs/>
          <w:i/>
          <w:color w:val="000000" w:themeColor="text1"/>
          <w:szCs w:val="24"/>
          <w:lang w:val="en-US"/>
        </w:rPr>
        <w:t>Case of Gonzalez Medina and family v. Dominican Republic</w:t>
      </w:r>
      <w:r w:rsidRPr="00EA796A">
        <w:rPr>
          <w:rFonts w:cs="Times New Roman"/>
          <w:bCs/>
          <w:color w:val="000000" w:themeColor="text1"/>
          <w:szCs w:val="24"/>
          <w:lang w:val="en-US"/>
        </w:rPr>
        <w:t xml:space="preserve"> (Judgment), Inter-Am. Ct. H.R., Ser. C, No. 240, (27 February 2012).</w:t>
      </w:r>
      <w:r w:rsidR="009030FB" w:rsidRPr="00EA796A">
        <w:rPr>
          <w:rFonts w:cs="Times New Roman"/>
          <w:bCs/>
          <w:color w:val="000000" w:themeColor="text1"/>
          <w:szCs w:val="24"/>
          <w:lang w:val="en-US"/>
        </w:rPr>
        <w:t xml:space="preserve"> </w:t>
      </w:r>
      <w:r w:rsidR="00C82E30" w:rsidRPr="00EA796A">
        <w:rPr>
          <w:rFonts w:cs="Times New Roman"/>
          <w:b/>
          <w:iCs/>
          <w:color w:val="000000" w:themeColor="text1"/>
          <w:szCs w:val="24"/>
          <w:lang w:val="en-US"/>
        </w:rPr>
        <w:t>(p.18, 39)</w:t>
      </w:r>
    </w:p>
    <w:p w14:paraId="7BD9537C" w14:textId="059EC184" w:rsidR="00BE3A14" w:rsidRPr="00EA796A" w:rsidRDefault="00BE3A14" w:rsidP="00E052BE">
      <w:pPr>
        <w:numPr>
          <w:ilvl w:val="0"/>
          <w:numId w:val="0"/>
        </w:numPr>
        <w:spacing w:after="0"/>
        <w:rPr>
          <w:rFonts w:cs="Times New Roman"/>
          <w:iCs/>
          <w:color w:val="000000" w:themeColor="text1"/>
          <w:szCs w:val="24"/>
          <w:lang w:val="en-US"/>
        </w:rPr>
      </w:pPr>
      <w:r w:rsidRPr="00EA796A">
        <w:rPr>
          <w:rFonts w:cs="Times New Roman"/>
          <w:i/>
          <w:iCs/>
          <w:color w:val="000000" w:themeColor="text1"/>
          <w:szCs w:val="24"/>
          <w:lang w:val="en-US"/>
        </w:rPr>
        <w:t>Case of Grande v. Argentina</w:t>
      </w:r>
      <w:r w:rsidRPr="00EA796A">
        <w:rPr>
          <w:rFonts w:cs="Times New Roman"/>
          <w:iCs/>
          <w:color w:val="000000" w:themeColor="text1"/>
          <w:szCs w:val="24"/>
          <w:lang w:val="en-US"/>
        </w:rPr>
        <w:t xml:space="preserve"> (Judgment), Inter-Am. </w:t>
      </w:r>
      <w:r w:rsidRPr="00EA796A">
        <w:rPr>
          <w:rFonts w:cs="Times New Roman"/>
          <w:iCs/>
          <w:color w:val="000000" w:themeColor="text1"/>
          <w:szCs w:val="24"/>
          <w:lang w:val="pt-PT"/>
        </w:rPr>
        <w:t>Ct. H.R., Ser. C, No. 231, (31 August 2011).</w:t>
      </w:r>
      <w:r w:rsidR="00C82E30" w:rsidRPr="00EA796A">
        <w:rPr>
          <w:rFonts w:cs="Times New Roman"/>
          <w:iCs/>
          <w:color w:val="000000" w:themeColor="text1"/>
          <w:szCs w:val="24"/>
          <w:lang w:val="pt-PT"/>
        </w:rPr>
        <w:t xml:space="preserve"> </w:t>
      </w:r>
      <w:r w:rsidR="00C82E30" w:rsidRPr="00EA796A">
        <w:rPr>
          <w:rFonts w:cs="Times New Roman"/>
          <w:b/>
          <w:iCs/>
          <w:color w:val="000000" w:themeColor="text1"/>
          <w:szCs w:val="24"/>
          <w:lang w:val="en-US"/>
        </w:rPr>
        <w:t>(p.18)</w:t>
      </w:r>
    </w:p>
    <w:p w14:paraId="5B64BEF2" w14:textId="7A659E93"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cs="Times New Roman"/>
          <w:bCs/>
          <w:i/>
          <w:color w:val="000000" w:themeColor="text1"/>
          <w:szCs w:val="24"/>
          <w:lang w:val="en-US" w:eastAsia="ja-JP" w:bidi="ar-SA"/>
        </w:rPr>
        <w:t>Case of Gudiel Álvarez et al. ("Diario Militar") v. Guatemala</w:t>
      </w:r>
      <w:r w:rsidRPr="00EA796A">
        <w:rPr>
          <w:rFonts w:cs="Times New Roman"/>
          <w:bCs/>
          <w:color w:val="000000" w:themeColor="text1"/>
          <w:szCs w:val="24"/>
          <w:lang w:val="en-US" w:eastAsia="ja-JP" w:bidi="ar-SA"/>
        </w:rPr>
        <w:t xml:space="preserve"> (Judgment), Inter-Am. Ct. H.R., Ser. C, No. 253, (20 November 2012).</w:t>
      </w:r>
      <w:r w:rsidR="00C82E30" w:rsidRPr="00EA796A">
        <w:rPr>
          <w:rFonts w:cs="Times New Roman"/>
          <w:bCs/>
          <w:color w:val="000000" w:themeColor="text1"/>
          <w:szCs w:val="24"/>
          <w:lang w:val="en-US" w:eastAsia="ja-JP" w:bidi="ar-SA"/>
        </w:rPr>
        <w:t xml:space="preserve"> </w:t>
      </w:r>
      <w:r w:rsidR="00C82E30" w:rsidRPr="00EA796A">
        <w:rPr>
          <w:rFonts w:cs="Times New Roman"/>
          <w:b/>
          <w:iCs/>
          <w:color w:val="000000" w:themeColor="text1"/>
          <w:szCs w:val="24"/>
          <w:lang w:val="en-US"/>
        </w:rPr>
        <w:t>(p.24)</w:t>
      </w:r>
    </w:p>
    <w:p w14:paraId="06326CD5" w14:textId="69AA2007" w:rsidR="00B71631" w:rsidRPr="00EA796A" w:rsidRDefault="00B71631" w:rsidP="00E052BE">
      <w:pPr>
        <w:numPr>
          <w:ilvl w:val="0"/>
          <w:numId w:val="0"/>
        </w:numPr>
        <w:spacing w:after="0"/>
        <w:rPr>
          <w:rFonts w:cs="Times New Roman"/>
          <w:bCs/>
          <w:color w:val="000000" w:themeColor="text1"/>
          <w:szCs w:val="24"/>
          <w:lang w:val="en-US" w:eastAsia="ja-JP" w:bidi="ar-SA"/>
        </w:rPr>
      </w:pPr>
      <w:r w:rsidRPr="00EA796A">
        <w:rPr>
          <w:rFonts w:cs="Times New Roman"/>
          <w:bCs/>
          <w:i/>
          <w:color w:val="000000" w:themeColor="text1"/>
          <w:szCs w:val="24"/>
          <w:lang w:val="en-US" w:eastAsia="ja-JP" w:bidi="ar-SA"/>
        </w:rPr>
        <w:t xml:space="preserve">Case of Guttiérrez and family v. Argentina </w:t>
      </w:r>
      <w:r w:rsidRPr="00EA796A">
        <w:rPr>
          <w:rFonts w:cs="Times New Roman"/>
          <w:bCs/>
          <w:color w:val="000000" w:themeColor="text1"/>
          <w:szCs w:val="24"/>
          <w:lang w:val="en-US" w:eastAsia="ja-JP" w:bidi="ar-SA"/>
        </w:rPr>
        <w:t>(Judgment), Inter-Am. Ct. H.R., Ser. C, No. 271, (25 November 2013).</w:t>
      </w:r>
      <w:r w:rsidR="00C82E30" w:rsidRPr="00EA796A">
        <w:rPr>
          <w:rFonts w:cs="Times New Roman"/>
          <w:bCs/>
          <w:color w:val="000000" w:themeColor="text1"/>
          <w:szCs w:val="24"/>
          <w:lang w:val="en-US" w:eastAsia="ja-JP" w:bidi="ar-SA"/>
        </w:rPr>
        <w:t xml:space="preserve"> </w:t>
      </w:r>
      <w:r w:rsidR="00C82E30" w:rsidRPr="00EA796A">
        <w:rPr>
          <w:rFonts w:cs="Times New Roman"/>
          <w:b/>
          <w:iCs/>
          <w:color w:val="000000" w:themeColor="text1"/>
          <w:szCs w:val="24"/>
          <w:lang w:val="en-US"/>
        </w:rPr>
        <w:t>(p.27)</w:t>
      </w:r>
    </w:p>
    <w:p w14:paraId="2C915F0F" w14:textId="3F4170E7"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 xml:space="preserve">Case of Herrera Ulloa v. Costa Rica </w:t>
      </w:r>
      <w:r w:rsidRPr="00EA796A">
        <w:rPr>
          <w:rFonts w:cs="Times New Roman"/>
          <w:color w:val="000000" w:themeColor="text1"/>
          <w:szCs w:val="24"/>
          <w:lang w:val="en-US"/>
        </w:rPr>
        <w:t>(Judgment),</w:t>
      </w:r>
      <w:r w:rsidRPr="00EA796A">
        <w:rPr>
          <w:rFonts w:cs="Times New Roman"/>
          <w:i/>
          <w:color w:val="000000" w:themeColor="text1"/>
          <w:szCs w:val="24"/>
          <w:lang w:val="en-US"/>
        </w:rPr>
        <w:t xml:space="preserve"> </w:t>
      </w:r>
      <w:r w:rsidRPr="00EA796A">
        <w:rPr>
          <w:rFonts w:cs="Times New Roman"/>
          <w:color w:val="000000" w:themeColor="text1"/>
          <w:szCs w:val="24"/>
          <w:lang w:val="en-US"/>
        </w:rPr>
        <w:t>Inter-Am. Ct. H.R., Ser. C, No. 107, (2 July 2004).</w:t>
      </w:r>
      <w:r w:rsidR="00C82E30" w:rsidRPr="00EA796A">
        <w:rPr>
          <w:rFonts w:cs="Times New Roman"/>
          <w:color w:val="000000" w:themeColor="text1"/>
          <w:szCs w:val="24"/>
          <w:lang w:val="en-US"/>
        </w:rPr>
        <w:t xml:space="preserve"> </w:t>
      </w:r>
      <w:r w:rsidR="00C82E30" w:rsidRPr="00EA796A">
        <w:rPr>
          <w:rFonts w:cs="Times New Roman"/>
          <w:b/>
          <w:iCs/>
          <w:color w:val="000000" w:themeColor="text1"/>
          <w:szCs w:val="24"/>
          <w:lang w:val="en-US"/>
        </w:rPr>
        <w:t>(p.15)</w:t>
      </w:r>
    </w:p>
    <w:p w14:paraId="5FF89A0A" w14:textId="41C54E70"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 xml:space="preserve">Case of La Cantuta v. Peru </w:t>
      </w:r>
      <w:r w:rsidRPr="00EA796A">
        <w:rPr>
          <w:rFonts w:cs="Times New Roman"/>
          <w:color w:val="000000" w:themeColor="text1"/>
          <w:szCs w:val="24"/>
          <w:lang w:val="en-US"/>
        </w:rPr>
        <w:t xml:space="preserve">(Judgment), Inter-Am. </w:t>
      </w:r>
      <w:r w:rsidRPr="00EA796A">
        <w:rPr>
          <w:rFonts w:cs="Times New Roman"/>
          <w:color w:val="000000" w:themeColor="text1"/>
          <w:szCs w:val="24"/>
          <w:lang w:val="pt-PT"/>
        </w:rPr>
        <w:t>Ct. H.R., Ser. C, No. 162, (29 November 2006)</w:t>
      </w:r>
      <w:r w:rsidR="00FB189B" w:rsidRPr="00EA796A">
        <w:rPr>
          <w:rFonts w:cs="Times New Roman"/>
          <w:color w:val="000000" w:themeColor="text1"/>
          <w:szCs w:val="24"/>
          <w:lang w:val="pt-PT"/>
        </w:rPr>
        <w:t>.</w:t>
      </w:r>
      <w:r w:rsidR="00C82E30" w:rsidRPr="00EA796A">
        <w:rPr>
          <w:rFonts w:cs="Times New Roman"/>
          <w:color w:val="000000" w:themeColor="text1"/>
          <w:szCs w:val="24"/>
          <w:lang w:val="pt-PT"/>
        </w:rPr>
        <w:t xml:space="preserve"> </w:t>
      </w:r>
      <w:r w:rsidR="00C82E30" w:rsidRPr="00EA796A">
        <w:rPr>
          <w:rFonts w:cs="Times New Roman"/>
          <w:b/>
          <w:iCs/>
          <w:color w:val="000000" w:themeColor="text1"/>
          <w:szCs w:val="24"/>
          <w:lang w:val="en-US"/>
        </w:rPr>
        <w:t>(p.27)</w:t>
      </w:r>
    </w:p>
    <w:p w14:paraId="5F3A586F" w14:textId="3B3FE129" w:rsidR="00BE3A14" w:rsidRPr="00EA796A" w:rsidRDefault="00BE3A14" w:rsidP="00E052BE">
      <w:pPr>
        <w:numPr>
          <w:ilvl w:val="0"/>
          <w:numId w:val="0"/>
        </w:numPr>
        <w:spacing w:after="0"/>
        <w:rPr>
          <w:rFonts w:cs="Times New Roman"/>
          <w:bCs/>
          <w:color w:val="000000" w:themeColor="text1"/>
          <w:szCs w:val="24"/>
          <w:lang w:val="en-US"/>
        </w:rPr>
      </w:pPr>
      <w:r w:rsidRPr="00EA796A">
        <w:rPr>
          <w:rFonts w:cs="Times New Roman"/>
          <w:bCs/>
          <w:i/>
          <w:color w:val="000000" w:themeColor="text1"/>
          <w:szCs w:val="24"/>
          <w:lang w:val="en-US"/>
        </w:rPr>
        <w:t>Case of Las Palmeras v. Colombia</w:t>
      </w:r>
      <w:r w:rsidRPr="00EA796A">
        <w:rPr>
          <w:rFonts w:cs="Times New Roman"/>
          <w:bCs/>
          <w:color w:val="000000" w:themeColor="text1"/>
          <w:szCs w:val="24"/>
          <w:lang w:val="en-US"/>
        </w:rPr>
        <w:t xml:space="preserve"> (Judgment), Inter-Am. Ct. H.R., Ser. C, No. 67, (4 February 2000).</w:t>
      </w:r>
      <w:r w:rsidR="00FD439C" w:rsidRPr="00EA796A">
        <w:rPr>
          <w:rFonts w:cs="Times New Roman"/>
          <w:bCs/>
          <w:color w:val="000000" w:themeColor="text1"/>
          <w:szCs w:val="24"/>
          <w:lang w:val="en-US"/>
        </w:rPr>
        <w:t xml:space="preserve"> </w:t>
      </w:r>
      <w:r w:rsidR="00FD439C" w:rsidRPr="00EA796A">
        <w:rPr>
          <w:rFonts w:cs="Times New Roman"/>
          <w:b/>
          <w:iCs/>
          <w:color w:val="000000" w:themeColor="text1"/>
          <w:szCs w:val="24"/>
          <w:lang w:val="en-US"/>
        </w:rPr>
        <w:t>(p.13)</w:t>
      </w:r>
    </w:p>
    <w:p w14:paraId="5C5F7C41" w14:textId="47B87F86"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cs="Times New Roman"/>
          <w:bCs/>
          <w:i/>
          <w:color w:val="000000" w:themeColor="text1"/>
          <w:szCs w:val="24"/>
          <w:lang w:val="en-US" w:eastAsia="ja-JP" w:bidi="ar-SA"/>
        </w:rPr>
        <w:t>Case of Liakat Ali Alibux v. Suriname</w:t>
      </w:r>
      <w:r w:rsidRPr="00EA796A">
        <w:rPr>
          <w:rFonts w:cs="Times New Roman"/>
          <w:bCs/>
          <w:color w:val="000000" w:themeColor="text1"/>
          <w:szCs w:val="24"/>
          <w:lang w:val="en-US" w:eastAsia="ja-JP" w:bidi="ar-SA"/>
        </w:rPr>
        <w:t xml:space="preserve"> (Judgment), Inter-Am. </w:t>
      </w:r>
      <w:r w:rsidRPr="00EA796A">
        <w:rPr>
          <w:rFonts w:cs="Times New Roman"/>
          <w:bCs/>
          <w:color w:val="000000" w:themeColor="text1"/>
          <w:szCs w:val="24"/>
          <w:lang w:val="pt-PT" w:eastAsia="ja-JP" w:bidi="ar-SA"/>
        </w:rPr>
        <w:t>Ct. H.R., Ser. C, No. 276, (30 January 2014).</w:t>
      </w:r>
      <w:r w:rsidR="00FD439C" w:rsidRPr="00EA796A">
        <w:rPr>
          <w:rFonts w:cs="Times New Roman"/>
          <w:bCs/>
          <w:color w:val="000000" w:themeColor="text1"/>
          <w:szCs w:val="24"/>
          <w:lang w:val="pt-PT" w:eastAsia="ja-JP" w:bidi="ar-SA"/>
        </w:rPr>
        <w:t xml:space="preserve"> </w:t>
      </w:r>
      <w:r w:rsidR="00FD439C" w:rsidRPr="00EA796A">
        <w:rPr>
          <w:rFonts w:cs="Times New Roman"/>
          <w:b/>
          <w:iCs/>
          <w:color w:val="000000" w:themeColor="text1"/>
          <w:szCs w:val="24"/>
          <w:lang w:val="en-US"/>
        </w:rPr>
        <w:t>(p.15)</w:t>
      </w:r>
    </w:p>
    <w:p w14:paraId="060D4D80" w14:textId="6A052383" w:rsidR="00B71631" w:rsidRPr="00EA796A" w:rsidRDefault="00B71631" w:rsidP="00E052BE">
      <w:pPr>
        <w:numPr>
          <w:ilvl w:val="0"/>
          <w:numId w:val="0"/>
        </w:numPr>
        <w:spacing w:after="0"/>
        <w:rPr>
          <w:rFonts w:cs="Times New Roman"/>
          <w:bCs/>
          <w:color w:val="000000" w:themeColor="text1"/>
          <w:szCs w:val="24"/>
          <w:lang w:val="en-US" w:eastAsia="ja-JP" w:bidi="ar-SA"/>
        </w:rPr>
      </w:pPr>
      <w:r w:rsidRPr="00EA796A">
        <w:rPr>
          <w:rFonts w:cs="Times New Roman"/>
          <w:bCs/>
          <w:i/>
          <w:color w:val="000000" w:themeColor="text1"/>
          <w:szCs w:val="24"/>
          <w:lang w:val="en-US" w:eastAsia="ja-JP" w:bidi="ar-SA"/>
        </w:rPr>
        <w:t>Case of Luna L</w:t>
      </w:r>
      <w:r w:rsidRPr="00EA796A">
        <w:rPr>
          <w:rFonts w:cs="Times New Roman"/>
          <w:color w:val="000000" w:themeColor="text1"/>
          <w:szCs w:val="24"/>
        </w:rPr>
        <w:t>ó</w:t>
      </w:r>
      <w:r w:rsidRPr="00EA796A">
        <w:rPr>
          <w:rFonts w:cs="Times New Roman"/>
          <w:bCs/>
          <w:i/>
          <w:color w:val="000000" w:themeColor="text1"/>
          <w:szCs w:val="24"/>
          <w:lang w:val="en-US" w:eastAsia="ja-JP" w:bidi="ar-SA"/>
        </w:rPr>
        <w:t xml:space="preserve">pez v. Honduras </w:t>
      </w:r>
      <w:r w:rsidRPr="00EA796A">
        <w:rPr>
          <w:rFonts w:cs="Times New Roman"/>
          <w:bCs/>
          <w:color w:val="000000" w:themeColor="text1"/>
          <w:szCs w:val="24"/>
          <w:lang w:val="en-US" w:eastAsia="ja-JP" w:bidi="ar-SA"/>
        </w:rPr>
        <w:t>(Judgment), Inter-Am. Ct. H.R., Ser. C, No. 269, (10 October 2013).</w:t>
      </w:r>
      <w:r w:rsidR="00FD439C" w:rsidRPr="00EA796A">
        <w:rPr>
          <w:rFonts w:cs="Times New Roman"/>
          <w:bCs/>
          <w:color w:val="000000" w:themeColor="text1"/>
          <w:szCs w:val="24"/>
          <w:lang w:val="en-US" w:eastAsia="ja-JP" w:bidi="ar-SA"/>
        </w:rPr>
        <w:t xml:space="preserve"> </w:t>
      </w:r>
      <w:r w:rsidR="00FD439C" w:rsidRPr="00EA796A">
        <w:rPr>
          <w:rFonts w:cs="Times New Roman"/>
          <w:b/>
          <w:iCs/>
          <w:color w:val="000000" w:themeColor="text1"/>
          <w:szCs w:val="24"/>
          <w:lang w:val="en-US"/>
        </w:rPr>
        <w:t>(p.27, 37)</w:t>
      </w:r>
    </w:p>
    <w:p w14:paraId="7734C35C" w14:textId="20A060EF" w:rsidR="00EE4119" w:rsidRPr="00EA796A" w:rsidRDefault="00BE3A14" w:rsidP="00E052BE">
      <w:pPr>
        <w:numPr>
          <w:ilvl w:val="0"/>
          <w:numId w:val="0"/>
        </w:numPr>
        <w:spacing w:after="0"/>
        <w:rPr>
          <w:rFonts w:cs="Times New Roman"/>
          <w:b/>
          <w:color w:val="000000" w:themeColor="text1"/>
          <w:szCs w:val="24"/>
          <w:lang w:val="en-US"/>
        </w:rPr>
      </w:pPr>
      <w:r w:rsidRPr="00EA796A">
        <w:rPr>
          <w:rFonts w:cs="Times New Roman"/>
          <w:i/>
          <w:color w:val="000000" w:themeColor="text1"/>
          <w:szCs w:val="24"/>
          <w:lang w:val="en-US"/>
        </w:rPr>
        <w:t>Case of Manuel Cepeda Vargas v. Colombia</w:t>
      </w:r>
      <w:r w:rsidRPr="00EA796A">
        <w:rPr>
          <w:rFonts w:cs="Times New Roman"/>
          <w:color w:val="000000" w:themeColor="text1"/>
          <w:szCs w:val="24"/>
          <w:lang w:val="en-US"/>
        </w:rPr>
        <w:t xml:space="preserve"> (Judgment), Inter-Am. </w:t>
      </w:r>
      <w:r w:rsidRPr="00EA796A">
        <w:rPr>
          <w:rFonts w:cs="Times New Roman"/>
          <w:color w:val="000000" w:themeColor="text1"/>
          <w:szCs w:val="24"/>
          <w:lang w:val="pt-PT"/>
        </w:rPr>
        <w:t>Ct. H.R., Ser. C, No. 213, (26 May 2010).</w:t>
      </w:r>
      <w:r w:rsidR="00FD439C" w:rsidRPr="00EA796A">
        <w:rPr>
          <w:rFonts w:cs="Times New Roman"/>
          <w:color w:val="000000" w:themeColor="text1"/>
          <w:szCs w:val="24"/>
          <w:lang w:val="pt-PT"/>
        </w:rPr>
        <w:t xml:space="preserve"> </w:t>
      </w:r>
      <w:r w:rsidR="00FD439C" w:rsidRPr="00EA796A">
        <w:rPr>
          <w:rFonts w:cs="Times New Roman"/>
          <w:b/>
          <w:iCs/>
          <w:color w:val="000000" w:themeColor="text1"/>
          <w:szCs w:val="24"/>
          <w:lang w:val="en-US"/>
        </w:rPr>
        <w:t>(p.33)</w:t>
      </w:r>
    </w:p>
    <w:p w14:paraId="78F45144" w14:textId="038005A9" w:rsidR="00EE4119" w:rsidRPr="00EA796A" w:rsidRDefault="00EE4119" w:rsidP="00E052BE">
      <w:pPr>
        <w:numPr>
          <w:ilvl w:val="0"/>
          <w:numId w:val="0"/>
        </w:numPr>
        <w:spacing w:after="0"/>
        <w:rPr>
          <w:rFonts w:cs="Times New Roman"/>
          <w:b/>
          <w:color w:val="000000" w:themeColor="text1"/>
          <w:szCs w:val="24"/>
          <w:lang w:val="en-US"/>
        </w:rPr>
      </w:pPr>
      <w:r w:rsidRPr="00EA796A">
        <w:rPr>
          <w:rFonts w:cs="Times New Roman"/>
          <w:i/>
          <w:iCs/>
          <w:color w:val="000000" w:themeColor="text1"/>
          <w:szCs w:val="24"/>
          <w:lang w:val="en-US"/>
        </w:rPr>
        <w:lastRenderedPageBreak/>
        <w:t>Case of Massacre of Plan de Sánchez v. Guatemala</w:t>
      </w:r>
      <w:r w:rsidRPr="00EA796A">
        <w:rPr>
          <w:rFonts w:cs="Times New Roman"/>
          <w:iCs/>
          <w:color w:val="000000" w:themeColor="text1"/>
          <w:szCs w:val="24"/>
          <w:lang w:val="en-US"/>
        </w:rPr>
        <w:t xml:space="preserve"> (Judgment), Inter-Am. Ct. H.R., Ser. C, No. 116, (19 November 2004).</w:t>
      </w:r>
      <w:r w:rsidR="00FD439C" w:rsidRPr="00EA796A">
        <w:rPr>
          <w:rFonts w:cs="Times New Roman"/>
          <w:iCs/>
          <w:color w:val="000000" w:themeColor="text1"/>
          <w:szCs w:val="24"/>
          <w:lang w:val="en-US"/>
        </w:rPr>
        <w:t xml:space="preserve"> </w:t>
      </w:r>
      <w:r w:rsidR="00FD439C" w:rsidRPr="00EA796A">
        <w:rPr>
          <w:rFonts w:cs="Times New Roman"/>
          <w:b/>
          <w:iCs/>
          <w:color w:val="000000" w:themeColor="text1"/>
          <w:szCs w:val="24"/>
          <w:lang w:val="en-US"/>
        </w:rPr>
        <w:t>(p.30)</w:t>
      </w:r>
    </w:p>
    <w:p w14:paraId="5894700A" w14:textId="3607957D" w:rsidR="00BE3A14" w:rsidRPr="00EA796A" w:rsidRDefault="00BE3A14" w:rsidP="00E052BE">
      <w:pPr>
        <w:numPr>
          <w:ilvl w:val="0"/>
          <w:numId w:val="0"/>
        </w:numPr>
        <w:spacing w:after="0"/>
        <w:rPr>
          <w:rFonts w:cs="Times New Roman"/>
          <w:bCs/>
          <w:color w:val="000000" w:themeColor="text1"/>
          <w:szCs w:val="24"/>
          <w:lang w:val="en-US"/>
        </w:rPr>
      </w:pPr>
      <w:r w:rsidRPr="00EA796A">
        <w:rPr>
          <w:rFonts w:cs="Times New Roman"/>
          <w:bCs/>
          <w:i/>
          <w:color w:val="000000" w:themeColor="text1"/>
          <w:szCs w:val="24"/>
          <w:lang w:val="en-US"/>
        </w:rPr>
        <w:t>Case of Mémoli v. Argentina</w:t>
      </w:r>
      <w:r w:rsidRPr="00EA796A">
        <w:rPr>
          <w:rFonts w:cs="Times New Roman"/>
          <w:bCs/>
          <w:color w:val="000000" w:themeColor="text1"/>
          <w:szCs w:val="24"/>
          <w:lang w:val="en-US"/>
        </w:rPr>
        <w:t xml:space="preserve"> (Judgment), Inter-Am. </w:t>
      </w:r>
      <w:r w:rsidRPr="00EA796A">
        <w:rPr>
          <w:rFonts w:cs="Times New Roman"/>
          <w:bCs/>
          <w:color w:val="000000" w:themeColor="text1"/>
          <w:szCs w:val="24"/>
          <w:lang w:val="pt-PT"/>
        </w:rPr>
        <w:t>Ct. H.R., Ser. C, No. 265, (22 August 2013).</w:t>
      </w:r>
      <w:r w:rsidR="00FD439C" w:rsidRPr="00EA796A">
        <w:rPr>
          <w:rFonts w:cs="Times New Roman"/>
          <w:bCs/>
          <w:color w:val="000000" w:themeColor="text1"/>
          <w:szCs w:val="24"/>
          <w:lang w:val="pt-PT"/>
        </w:rPr>
        <w:t xml:space="preserve"> </w:t>
      </w:r>
      <w:r w:rsidR="00FD439C" w:rsidRPr="00EA796A">
        <w:rPr>
          <w:rFonts w:cs="Times New Roman"/>
          <w:b/>
          <w:iCs/>
          <w:color w:val="000000" w:themeColor="text1"/>
          <w:szCs w:val="24"/>
          <w:lang w:val="en-US"/>
        </w:rPr>
        <w:t>(p.18)</w:t>
      </w:r>
    </w:p>
    <w:p w14:paraId="5D156D69" w14:textId="7740BDA4" w:rsidR="009A2ED6" w:rsidRPr="00EA796A" w:rsidRDefault="009A2ED6" w:rsidP="00E052BE">
      <w:pPr>
        <w:numPr>
          <w:ilvl w:val="0"/>
          <w:numId w:val="0"/>
        </w:numPr>
        <w:rPr>
          <w:rFonts w:cs="Times New Roman"/>
          <w:bCs/>
          <w:i/>
          <w:color w:val="000000" w:themeColor="text1"/>
          <w:szCs w:val="24"/>
          <w:lang w:val="en-GB"/>
        </w:rPr>
      </w:pPr>
      <w:r w:rsidRPr="00EA796A">
        <w:rPr>
          <w:rFonts w:cs="Times New Roman"/>
          <w:bCs/>
          <w:i/>
          <w:color w:val="000000" w:themeColor="text1"/>
          <w:szCs w:val="24"/>
          <w:lang w:val="en-US"/>
        </w:rPr>
        <w:t xml:space="preserve">Case of </w:t>
      </w:r>
      <w:r w:rsidRPr="00EA796A">
        <w:rPr>
          <w:rFonts w:cs="Times New Roman"/>
          <w:bCs/>
          <w:i/>
          <w:color w:val="000000" w:themeColor="text1"/>
          <w:szCs w:val="24"/>
          <w:lang w:val="en-GB"/>
        </w:rPr>
        <w:t xml:space="preserve">Montero-Aranguren et al. (Detention Center of Catia) v. Venezuela </w:t>
      </w:r>
      <w:r w:rsidRPr="00EA796A">
        <w:rPr>
          <w:rFonts w:cs="Times New Roman"/>
          <w:bCs/>
          <w:color w:val="000000" w:themeColor="text1"/>
          <w:szCs w:val="24"/>
          <w:lang w:val="en-GB"/>
        </w:rPr>
        <w:t>(Judgment),  Inter-Am. Ct. H.R., Ser. C, No. 150, (5 July 2006).</w:t>
      </w:r>
      <w:r w:rsidR="00FD439C" w:rsidRPr="00EA796A">
        <w:rPr>
          <w:rFonts w:cs="Times New Roman"/>
          <w:bCs/>
          <w:color w:val="000000" w:themeColor="text1"/>
          <w:szCs w:val="24"/>
          <w:lang w:val="en-GB"/>
        </w:rPr>
        <w:t xml:space="preserve"> </w:t>
      </w:r>
      <w:r w:rsidR="00FD439C" w:rsidRPr="00EA796A">
        <w:rPr>
          <w:rFonts w:cs="Times New Roman"/>
          <w:b/>
          <w:iCs/>
          <w:color w:val="000000" w:themeColor="text1"/>
          <w:szCs w:val="24"/>
          <w:lang w:val="en-US"/>
        </w:rPr>
        <w:t>(p.34, 35)</w:t>
      </w:r>
    </w:p>
    <w:p w14:paraId="32FA091F" w14:textId="401C233F" w:rsidR="009A2ED6"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 xml:space="preserve">Case of Nadege Dorzema et al. v. Dominican Republic </w:t>
      </w:r>
      <w:r w:rsidRPr="00EA796A">
        <w:rPr>
          <w:rFonts w:cs="Times New Roman"/>
          <w:color w:val="000000" w:themeColor="text1"/>
          <w:szCs w:val="24"/>
          <w:lang w:val="en-US"/>
        </w:rPr>
        <w:t>(Judgment), Inter-Am. Ct. H.R., Ser. C, No. 251, (24 October 2012)</w:t>
      </w:r>
      <w:r w:rsidR="00FB189B" w:rsidRPr="00EA796A">
        <w:rPr>
          <w:rFonts w:cs="Times New Roman"/>
          <w:color w:val="000000" w:themeColor="text1"/>
          <w:szCs w:val="24"/>
          <w:lang w:val="en-US"/>
        </w:rPr>
        <w:t>.</w:t>
      </w:r>
      <w:r w:rsidR="00FD439C" w:rsidRPr="00EA796A">
        <w:rPr>
          <w:rFonts w:cs="Times New Roman"/>
          <w:color w:val="000000" w:themeColor="text1"/>
          <w:szCs w:val="24"/>
          <w:lang w:val="en-US"/>
        </w:rPr>
        <w:t xml:space="preserve"> </w:t>
      </w:r>
      <w:r w:rsidR="00FD439C" w:rsidRPr="00EA796A">
        <w:rPr>
          <w:rFonts w:cs="Times New Roman"/>
          <w:b/>
          <w:iCs/>
          <w:color w:val="000000" w:themeColor="text1"/>
          <w:szCs w:val="24"/>
          <w:lang w:val="en-US"/>
        </w:rPr>
        <w:t>(p.27, 38)</w:t>
      </w:r>
    </w:p>
    <w:p w14:paraId="74C82887" w14:textId="6FDC14B7" w:rsidR="009A2ED6" w:rsidRPr="00EA796A" w:rsidRDefault="009A2ED6"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Neira Alegría et al. v. Peru</w:t>
      </w:r>
      <w:r w:rsidRPr="00EA796A">
        <w:rPr>
          <w:rFonts w:cs="Times New Roman"/>
          <w:color w:val="000000" w:themeColor="text1"/>
          <w:szCs w:val="24"/>
          <w:lang w:val="en-US"/>
        </w:rPr>
        <w:t xml:space="preserve"> (Judgment) , Inter-Am. </w:t>
      </w:r>
      <w:r w:rsidRPr="00EA796A">
        <w:rPr>
          <w:rFonts w:cs="Times New Roman"/>
          <w:color w:val="000000" w:themeColor="text1"/>
          <w:szCs w:val="24"/>
          <w:lang w:val="pt-BR"/>
        </w:rPr>
        <w:t>Ct. H.R., Ser. C, No. 20, (19 January 1995).</w:t>
      </w:r>
      <w:r w:rsidR="00FD439C" w:rsidRPr="00EA796A">
        <w:rPr>
          <w:rFonts w:cs="Times New Roman"/>
          <w:color w:val="000000" w:themeColor="text1"/>
          <w:szCs w:val="24"/>
          <w:lang w:val="pt-BR"/>
        </w:rPr>
        <w:t xml:space="preserve"> </w:t>
      </w:r>
      <w:r w:rsidR="00FD439C" w:rsidRPr="00EA796A">
        <w:rPr>
          <w:rFonts w:cs="Times New Roman"/>
          <w:b/>
          <w:iCs/>
          <w:color w:val="000000" w:themeColor="text1"/>
          <w:szCs w:val="24"/>
          <w:lang w:val="en-US"/>
        </w:rPr>
        <w:t>(p.34, 35)</w:t>
      </w:r>
    </w:p>
    <w:p w14:paraId="24B991C9" w14:textId="6038BC67" w:rsidR="00BE3A14" w:rsidRPr="00EA796A" w:rsidRDefault="00BE3A14" w:rsidP="00E052BE">
      <w:pPr>
        <w:numPr>
          <w:ilvl w:val="0"/>
          <w:numId w:val="0"/>
        </w:numPr>
        <w:spacing w:after="0"/>
        <w:rPr>
          <w:rFonts w:cs="Times New Roman"/>
          <w:bCs/>
          <w:color w:val="000000" w:themeColor="text1"/>
          <w:szCs w:val="24"/>
          <w:lang w:val="en-US"/>
        </w:rPr>
      </w:pPr>
      <w:r w:rsidRPr="00EA796A">
        <w:rPr>
          <w:rFonts w:cs="Times New Roman"/>
          <w:bCs/>
          <w:i/>
          <w:color w:val="000000" w:themeColor="text1"/>
          <w:szCs w:val="24"/>
          <w:lang w:val="en-US"/>
        </w:rPr>
        <w:t>Case of the "Mapiripán Massacre" v. Colombia</w:t>
      </w:r>
      <w:r w:rsidRPr="00EA796A">
        <w:rPr>
          <w:rFonts w:cs="Times New Roman"/>
          <w:bCs/>
          <w:color w:val="000000" w:themeColor="text1"/>
          <w:szCs w:val="24"/>
          <w:lang w:val="en-US"/>
        </w:rPr>
        <w:t xml:space="preserve"> (Judgment), Inter-Am. Ct. H.R., Ser. C, No. 134, (15 September 2005).</w:t>
      </w:r>
      <w:r w:rsidR="00FD439C" w:rsidRPr="00EA796A">
        <w:rPr>
          <w:rFonts w:cs="Times New Roman"/>
          <w:bCs/>
          <w:color w:val="000000" w:themeColor="text1"/>
          <w:szCs w:val="24"/>
          <w:lang w:val="en-US"/>
        </w:rPr>
        <w:t xml:space="preserve"> </w:t>
      </w:r>
      <w:r w:rsidR="00FD439C" w:rsidRPr="00EA796A">
        <w:rPr>
          <w:rFonts w:cs="Times New Roman"/>
          <w:b/>
          <w:iCs/>
          <w:color w:val="000000" w:themeColor="text1"/>
          <w:szCs w:val="24"/>
          <w:lang w:val="en-US"/>
        </w:rPr>
        <w:t>(p.36)</w:t>
      </w:r>
    </w:p>
    <w:p w14:paraId="7E1A9106" w14:textId="3E316359"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 xml:space="preserve">Case of the “Las Dos Erres” Massacre v. Guatemala </w:t>
      </w:r>
      <w:r w:rsidRPr="00EA796A">
        <w:rPr>
          <w:rFonts w:cs="Times New Roman"/>
          <w:color w:val="000000" w:themeColor="text1"/>
          <w:szCs w:val="24"/>
          <w:lang w:val="en-US"/>
        </w:rPr>
        <w:t>(Judgment), Inter-Am. Ct. H.R., Ser. C, No. 211, (24 November 2009).</w:t>
      </w:r>
      <w:r w:rsidR="00FD439C" w:rsidRPr="00EA796A">
        <w:rPr>
          <w:rFonts w:cs="Times New Roman"/>
          <w:color w:val="000000" w:themeColor="text1"/>
          <w:szCs w:val="24"/>
          <w:lang w:val="en-US"/>
        </w:rPr>
        <w:t xml:space="preserve"> </w:t>
      </w:r>
      <w:r w:rsidR="00FD439C" w:rsidRPr="00EA796A">
        <w:rPr>
          <w:rFonts w:cs="Times New Roman"/>
          <w:b/>
          <w:iCs/>
          <w:color w:val="000000" w:themeColor="text1"/>
          <w:szCs w:val="24"/>
          <w:lang w:val="en-US"/>
        </w:rPr>
        <w:t>(p.31)</w:t>
      </w:r>
    </w:p>
    <w:p w14:paraId="5C3A9E8B" w14:textId="0407F6B3"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the 19 Merchants v. Colombia</w:t>
      </w:r>
      <w:r w:rsidRPr="00EA796A">
        <w:rPr>
          <w:rFonts w:cs="Times New Roman"/>
          <w:color w:val="000000" w:themeColor="text1"/>
          <w:szCs w:val="24"/>
          <w:lang w:val="en-US"/>
        </w:rPr>
        <w:t xml:space="preserve"> (Judgment), Inter-Am. </w:t>
      </w:r>
      <w:r w:rsidRPr="00EA796A">
        <w:rPr>
          <w:rFonts w:cs="Times New Roman"/>
          <w:color w:val="000000" w:themeColor="text1"/>
          <w:szCs w:val="24"/>
          <w:lang w:val="pt-PT"/>
        </w:rPr>
        <w:t>Ct. H.R., Ser. C, No. 109, (5 July 2004).</w:t>
      </w:r>
      <w:r w:rsidR="00FD439C" w:rsidRPr="00EA796A">
        <w:rPr>
          <w:rFonts w:cs="Times New Roman"/>
          <w:color w:val="000000" w:themeColor="text1"/>
          <w:szCs w:val="24"/>
          <w:lang w:val="pt-PT"/>
        </w:rPr>
        <w:t xml:space="preserve"> </w:t>
      </w:r>
      <w:r w:rsidR="00FD439C" w:rsidRPr="00EA796A">
        <w:rPr>
          <w:rFonts w:cs="Times New Roman"/>
          <w:b/>
          <w:iCs/>
          <w:color w:val="000000" w:themeColor="text1"/>
          <w:szCs w:val="24"/>
          <w:lang w:val="en-US"/>
        </w:rPr>
        <w:t>(p.31)</w:t>
      </w:r>
    </w:p>
    <w:p w14:paraId="0DBB4088" w14:textId="61BDED66"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the Constitutional Court v. Peru</w:t>
      </w:r>
      <w:r w:rsidRPr="00EA796A">
        <w:rPr>
          <w:rFonts w:cs="Times New Roman"/>
          <w:color w:val="000000" w:themeColor="text1"/>
          <w:szCs w:val="24"/>
          <w:lang w:val="en-US"/>
        </w:rPr>
        <w:t xml:space="preserve"> (Judgment), Inter-Am. </w:t>
      </w:r>
      <w:r w:rsidRPr="00EA796A">
        <w:rPr>
          <w:rFonts w:cs="Times New Roman"/>
          <w:color w:val="000000" w:themeColor="text1"/>
          <w:szCs w:val="24"/>
          <w:lang w:val="pt-PT"/>
        </w:rPr>
        <w:t>Ct. H.R., Ser. C, No. 71, (31 January 2001)</w:t>
      </w:r>
      <w:r w:rsidR="00FB189B" w:rsidRPr="00EA796A">
        <w:rPr>
          <w:rFonts w:cs="Times New Roman"/>
          <w:color w:val="000000" w:themeColor="text1"/>
          <w:szCs w:val="24"/>
          <w:lang w:val="pt-PT"/>
        </w:rPr>
        <w:t>.</w:t>
      </w:r>
      <w:r w:rsidR="00FD439C" w:rsidRPr="00EA796A">
        <w:rPr>
          <w:rFonts w:cs="Times New Roman"/>
          <w:color w:val="000000" w:themeColor="text1"/>
          <w:szCs w:val="24"/>
          <w:lang w:val="pt-PT"/>
        </w:rPr>
        <w:t xml:space="preserve"> </w:t>
      </w:r>
      <w:r w:rsidR="00FD439C" w:rsidRPr="00EA796A">
        <w:rPr>
          <w:rFonts w:cs="Times New Roman"/>
          <w:b/>
          <w:iCs/>
          <w:color w:val="000000" w:themeColor="text1"/>
          <w:szCs w:val="24"/>
          <w:lang w:val="en-US"/>
        </w:rPr>
        <w:t>(p.19)</w:t>
      </w:r>
    </w:p>
    <w:p w14:paraId="63A75AB9" w14:textId="7F3082E2"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cs="Times New Roman"/>
          <w:bCs/>
          <w:i/>
          <w:color w:val="000000" w:themeColor="text1"/>
          <w:szCs w:val="24"/>
          <w:lang w:val="en-US" w:eastAsia="ja-JP" w:bidi="ar-SA"/>
        </w:rPr>
        <w:t>Case of the Dismissed Congressional Employees (Aguado - Alfaro et al.) v. Peru</w:t>
      </w:r>
      <w:r w:rsidRPr="00EA796A">
        <w:rPr>
          <w:rFonts w:cs="Times New Roman"/>
          <w:bCs/>
          <w:color w:val="000000" w:themeColor="text1"/>
          <w:szCs w:val="24"/>
          <w:lang w:val="en-US" w:eastAsia="ja-JP" w:bidi="ar-SA"/>
        </w:rPr>
        <w:t xml:space="preserve"> (Judgment), Inter-Am. Ct. H.R., Ser. C, No. 158, (24 November 2006).</w:t>
      </w:r>
      <w:r w:rsidR="00FD439C" w:rsidRPr="00EA796A">
        <w:rPr>
          <w:rFonts w:cs="Times New Roman"/>
          <w:bCs/>
          <w:color w:val="000000" w:themeColor="text1"/>
          <w:szCs w:val="24"/>
          <w:lang w:val="en-US" w:eastAsia="ja-JP" w:bidi="ar-SA"/>
        </w:rPr>
        <w:t xml:space="preserve"> </w:t>
      </w:r>
      <w:r w:rsidR="00FD439C" w:rsidRPr="00EA796A">
        <w:rPr>
          <w:rFonts w:cs="Times New Roman"/>
          <w:b/>
          <w:iCs/>
          <w:color w:val="000000" w:themeColor="text1"/>
          <w:szCs w:val="24"/>
          <w:lang w:val="en-US"/>
        </w:rPr>
        <w:t>(p.18)</w:t>
      </w:r>
    </w:p>
    <w:p w14:paraId="265069B0" w14:textId="06A795BC"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cs="Times New Roman"/>
          <w:bCs/>
          <w:i/>
          <w:color w:val="000000" w:themeColor="text1"/>
          <w:szCs w:val="24"/>
          <w:lang w:val="en-US" w:eastAsia="ja-JP" w:bidi="ar-SA"/>
        </w:rPr>
        <w:t>Case of the Massacres of El Mozote and nearby places v. El Salvador</w:t>
      </w:r>
      <w:r w:rsidRPr="00EA796A">
        <w:rPr>
          <w:rFonts w:cs="Times New Roman"/>
          <w:bCs/>
          <w:color w:val="000000" w:themeColor="text1"/>
          <w:szCs w:val="24"/>
          <w:lang w:val="en-US" w:eastAsia="ja-JP" w:bidi="ar-SA"/>
        </w:rPr>
        <w:t xml:space="preserve"> (Judgment), Inter-Am. Ct. H.R., Ser. C, No. 252, (25 October 2012).</w:t>
      </w:r>
      <w:r w:rsidR="00FD439C" w:rsidRPr="00EA796A">
        <w:rPr>
          <w:rFonts w:cs="Times New Roman"/>
          <w:bCs/>
          <w:color w:val="000000" w:themeColor="text1"/>
          <w:szCs w:val="24"/>
          <w:lang w:val="en-US" w:eastAsia="ja-JP" w:bidi="ar-SA"/>
        </w:rPr>
        <w:t xml:space="preserve"> </w:t>
      </w:r>
      <w:r w:rsidR="00FD439C" w:rsidRPr="00EA796A">
        <w:rPr>
          <w:rFonts w:cs="Times New Roman"/>
          <w:b/>
          <w:iCs/>
          <w:color w:val="000000" w:themeColor="text1"/>
          <w:szCs w:val="24"/>
          <w:lang w:val="en-US"/>
        </w:rPr>
        <w:t>(p.19, 25)</w:t>
      </w:r>
    </w:p>
    <w:p w14:paraId="75F34FCA" w14:textId="11CC7A78" w:rsidR="00BE3A14" w:rsidRPr="00EA796A" w:rsidRDefault="00BE3A14" w:rsidP="00E052BE">
      <w:pPr>
        <w:numPr>
          <w:ilvl w:val="0"/>
          <w:numId w:val="0"/>
        </w:numPr>
        <w:spacing w:after="0"/>
        <w:rPr>
          <w:rFonts w:cs="Times New Roman"/>
          <w:bCs/>
          <w:color w:val="000000" w:themeColor="text1"/>
          <w:szCs w:val="24"/>
          <w:lang w:val="en-US" w:eastAsia="ja-JP"/>
        </w:rPr>
      </w:pPr>
      <w:r w:rsidRPr="00EA796A">
        <w:rPr>
          <w:rFonts w:cs="Times New Roman"/>
          <w:bCs/>
          <w:i/>
          <w:color w:val="000000" w:themeColor="text1"/>
          <w:szCs w:val="24"/>
          <w:lang w:val="en-US" w:eastAsia="ja-JP"/>
        </w:rPr>
        <w:lastRenderedPageBreak/>
        <w:t>Case of the Mayagna (Sumo) Awas Tingni Community v. Nicaragua</w:t>
      </w:r>
      <w:r w:rsidRPr="00EA796A">
        <w:rPr>
          <w:rFonts w:cs="Times New Roman"/>
          <w:bCs/>
          <w:color w:val="000000" w:themeColor="text1"/>
          <w:szCs w:val="24"/>
          <w:lang w:val="en-US" w:eastAsia="ja-JP"/>
        </w:rPr>
        <w:t xml:space="preserve"> (Judgment), Inter-Am. Ct. H.R., Ser. C, No. 79, (31 August 2001).</w:t>
      </w:r>
      <w:r w:rsidR="00FD439C" w:rsidRPr="00EA796A">
        <w:rPr>
          <w:rFonts w:cs="Times New Roman"/>
          <w:bCs/>
          <w:color w:val="000000" w:themeColor="text1"/>
          <w:szCs w:val="24"/>
          <w:lang w:val="en-US" w:eastAsia="ja-JP"/>
        </w:rPr>
        <w:t xml:space="preserve"> </w:t>
      </w:r>
      <w:r w:rsidR="00FD439C" w:rsidRPr="00EA796A">
        <w:rPr>
          <w:rFonts w:cs="Times New Roman"/>
          <w:b/>
          <w:iCs/>
          <w:color w:val="000000" w:themeColor="text1"/>
          <w:szCs w:val="24"/>
          <w:lang w:val="en-US"/>
        </w:rPr>
        <w:t>(p.29, 30)</w:t>
      </w:r>
    </w:p>
    <w:p w14:paraId="1248E3D5" w14:textId="06119DAD"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the Moiwana Community v. Suriname</w:t>
      </w:r>
      <w:r w:rsidRPr="00EA796A">
        <w:rPr>
          <w:rFonts w:cs="Times New Roman"/>
          <w:color w:val="000000" w:themeColor="text1"/>
          <w:szCs w:val="24"/>
          <w:lang w:val="en-US"/>
        </w:rPr>
        <w:t xml:space="preserve"> (Judgment), Inter-Am. </w:t>
      </w:r>
      <w:r w:rsidRPr="00EA796A">
        <w:rPr>
          <w:rFonts w:cs="Times New Roman"/>
          <w:color w:val="000000" w:themeColor="text1"/>
          <w:szCs w:val="24"/>
          <w:lang w:val="pt-PT"/>
        </w:rPr>
        <w:t>Ct. H.R., Ser. C, No. 124, (15 June 2005).</w:t>
      </w:r>
      <w:r w:rsidR="00FD439C" w:rsidRPr="00EA796A">
        <w:rPr>
          <w:rFonts w:cs="Times New Roman"/>
          <w:color w:val="000000" w:themeColor="text1"/>
          <w:szCs w:val="24"/>
          <w:lang w:val="pt-PT"/>
        </w:rPr>
        <w:t xml:space="preserve"> </w:t>
      </w:r>
      <w:r w:rsidR="00FD439C" w:rsidRPr="00EA796A">
        <w:rPr>
          <w:rFonts w:cs="Times New Roman"/>
          <w:b/>
          <w:iCs/>
          <w:color w:val="000000" w:themeColor="text1"/>
          <w:szCs w:val="24"/>
          <w:lang w:val="en-US"/>
        </w:rPr>
        <w:t>(p.30)</w:t>
      </w:r>
    </w:p>
    <w:p w14:paraId="2465A4AD" w14:textId="5C3C314E"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cs="Times New Roman"/>
          <w:i/>
          <w:color w:val="000000" w:themeColor="text1"/>
          <w:szCs w:val="24"/>
          <w:lang w:val="en-US"/>
        </w:rPr>
        <w:t xml:space="preserve">Case of the </w:t>
      </w:r>
      <w:r w:rsidRPr="00EA796A">
        <w:rPr>
          <w:rFonts w:cs="Times New Roman"/>
          <w:bCs/>
          <w:i/>
          <w:color w:val="000000" w:themeColor="text1"/>
          <w:szCs w:val="24"/>
          <w:lang w:val="en-US" w:eastAsia="ja-JP" w:bidi="ar-SA"/>
        </w:rPr>
        <w:t>Río Negro Massacres v. Guatemala</w:t>
      </w:r>
      <w:r w:rsidRPr="00EA796A">
        <w:rPr>
          <w:rFonts w:cs="Times New Roman"/>
          <w:bCs/>
          <w:color w:val="000000" w:themeColor="text1"/>
          <w:szCs w:val="24"/>
          <w:lang w:val="en-US" w:eastAsia="ja-JP" w:bidi="ar-SA"/>
        </w:rPr>
        <w:t xml:space="preserve"> (Judgment), Inter-Am. Ct. H.R., Ser. C, No. 250, (4 September 2012).</w:t>
      </w:r>
      <w:r w:rsidR="00FD439C" w:rsidRPr="00EA796A">
        <w:rPr>
          <w:rFonts w:cs="Times New Roman"/>
          <w:bCs/>
          <w:color w:val="000000" w:themeColor="text1"/>
          <w:szCs w:val="24"/>
          <w:lang w:val="en-US" w:eastAsia="ja-JP" w:bidi="ar-SA"/>
        </w:rPr>
        <w:t xml:space="preserve"> </w:t>
      </w:r>
      <w:r w:rsidR="00FD439C" w:rsidRPr="00EA796A">
        <w:rPr>
          <w:rFonts w:cs="Times New Roman"/>
          <w:b/>
          <w:iCs/>
          <w:color w:val="000000" w:themeColor="text1"/>
          <w:szCs w:val="24"/>
          <w:lang w:val="en-US"/>
        </w:rPr>
        <w:t>(p.37)</w:t>
      </w:r>
    </w:p>
    <w:p w14:paraId="6A6B5225" w14:textId="45157A74"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the Rochela Massacre v. Colombia</w:t>
      </w:r>
      <w:r w:rsidRPr="00EA796A">
        <w:rPr>
          <w:rFonts w:cs="Times New Roman"/>
          <w:color w:val="000000" w:themeColor="text1"/>
          <w:szCs w:val="24"/>
          <w:lang w:val="en-US"/>
        </w:rPr>
        <w:t xml:space="preserve"> (Judgment), Inter-Am. </w:t>
      </w:r>
      <w:r w:rsidRPr="00EA796A">
        <w:rPr>
          <w:rFonts w:cs="Times New Roman"/>
          <w:color w:val="000000" w:themeColor="text1"/>
          <w:szCs w:val="24"/>
          <w:lang w:val="pt-PT"/>
        </w:rPr>
        <w:t>Ct. H.R., Ser. C, No. 163, (11 May 2007).</w:t>
      </w:r>
      <w:r w:rsidR="00FD439C" w:rsidRPr="00EA796A">
        <w:rPr>
          <w:rFonts w:cs="Times New Roman"/>
          <w:color w:val="000000" w:themeColor="text1"/>
          <w:szCs w:val="24"/>
          <w:lang w:val="pt-PT"/>
        </w:rPr>
        <w:t xml:space="preserve"> </w:t>
      </w:r>
      <w:r w:rsidR="00FD439C" w:rsidRPr="00EA796A">
        <w:rPr>
          <w:rFonts w:cs="Times New Roman"/>
          <w:b/>
          <w:iCs/>
          <w:color w:val="000000" w:themeColor="text1"/>
          <w:szCs w:val="24"/>
          <w:lang w:val="en-US"/>
        </w:rPr>
        <w:t>(p.31, 32)</w:t>
      </w:r>
    </w:p>
    <w:p w14:paraId="323B325B" w14:textId="29732C13" w:rsidR="00BE3A14" w:rsidRPr="00EA796A" w:rsidRDefault="00BE3A14" w:rsidP="00E052BE">
      <w:pPr>
        <w:numPr>
          <w:ilvl w:val="0"/>
          <w:numId w:val="0"/>
        </w:numPr>
        <w:spacing w:after="0"/>
        <w:rPr>
          <w:rFonts w:cs="Times New Roman"/>
          <w:bCs/>
          <w:color w:val="000000" w:themeColor="text1"/>
          <w:szCs w:val="24"/>
          <w:lang w:val="en-US" w:eastAsia="ja-JP" w:bidi="ar-SA"/>
        </w:rPr>
      </w:pPr>
      <w:r w:rsidRPr="00EA796A">
        <w:rPr>
          <w:rFonts w:cs="Times New Roman"/>
          <w:bCs/>
          <w:i/>
          <w:color w:val="000000" w:themeColor="text1"/>
          <w:szCs w:val="24"/>
          <w:lang w:val="en-US" w:eastAsia="ja-JP" w:bidi="ar-SA"/>
        </w:rPr>
        <w:t>Case of the Santo Domingo Massacre v. Colombia</w:t>
      </w:r>
      <w:r w:rsidRPr="00EA796A">
        <w:rPr>
          <w:rFonts w:cs="Times New Roman"/>
          <w:bCs/>
          <w:color w:val="000000" w:themeColor="text1"/>
          <w:szCs w:val="24"/>
          <w:lang w:val="en-US" w:eastAsia="ja-JP" w:bidi="ar-SA"/>
        </w:rPr>
        <w:t xml:space="preserve"> (Judgment), Inter-Am. Ct. H.R., Ser. C, No. 259, (30 November 2012).</w:t>
      </w:r>
      <w:r w:rsidR="00FD439C" w:rsidRPr="00EA796A">
        <w:rPr>
          <w:rFonts w:cs="Times New Roman"/>
          <w:bCs/>
          <w:color w:val="000000" w:themeColor="text1"/>
          <w:szCs w:val="24"/>
          <w:lang w:val="en-US" w:eastAsia="ja-JP" w:bidi="ar-SA"/>
        </w:rPr>
        <w:t xml:space="preserve"> </w:t>
      </w:r>
      <w:r w:rsidR="00FD439C" w:rsidRPr="00EA796A">
        <w:rPr>
          <w:rFonts w:cs="Times New Roman"/>
          <w:b/>
          <w:iCs/>
          <w:color w:val="000000" w:themeColor="text1"/>
          <w:szCs w:val="24"/>
          <w:lang w:val="en-US"/>
        </w:rPr>
        <w:t>(p.13, 15, 34, 35, 36)</w:t>
      </w:r>
    </w:p>
    <w:p w14:paraId="24078987" w14:textId="2871744E" w:rsidR="00BE3A14" w:rsidRPr="00EA796A" w:rsidRDefault="00BE3A14" w:rsidP="00E052BE">
      <w:pPr>
        <w:numPr>
          <w:ilvl w:val="0"/>
          <w:numId w:val="0"/>
        </w:numPr>
        <w:spacing w:after="0"/>
        <w:rPr>
          <w:rFonts w:cs="Times New Roman"/>
          <w:bCs/>
          <w:color w:val="000000" w:themeColor="text1"/>
          <w:szCs w:val="24"/>
          <w:lang w:val="en-US" w:eastAsia="ja-JP"/>
        </w:rPr>
      </w:pPr>
      <w:r w:rsidRPr="00EA796A">
        <w:rPr>
          <w:rFonts w:cs="Times New Roman"/>
          <w:bCs/>
          <w:i/>
          <w:color w:val="000000" w:themeColor="text1"/>
          <w:szCs w:val="24"/>
          <w:lang w:val="en-US" w:eastAsia="ja-JP"/>
        </w:rPr>
        <w:t>Case of the Saramaka People v. Suriname</w:t>
      </w:r>
      <w:r w:rsidRPr="00EA796A">
        <w:rPr>
          <w:rFonts w:cs="Times New Roman"/>
          <w:bCs/>
          <w:color w:val="000000" w:themeColor="text1"/>
          <w:szCs w:val="24"/>
          <w:lang w:val="en-US" w:eastAsia="ja-JP"/>
        </w:rPr>
        <w:t xml:space="preserve"> (Judgment), Inter-Am. </w:t>
      </w:r>
      <w:r w:rsidRPr="00EA796A">
        <w:rPr>
          <w:rFonts w:cs="Times New Roman"/>
          <w:bCs/>
          <w:color w:val="000000" w:themeColor="text1"/>
          <w:szCs w:val="24"/>
          <w:lang w:val="pt-PT" w:eastAsia="ja-JP"/>
        </w:rPr>
        <w:t>Ct. H.R., Ser. C, No. 172, (28 November 2007).</w:t>
      </w:r>
      <w:r w:rsidR="00FD439C" w:rsidRPr="00EA796A">
        <w:rPr>
          <w:rFonts w:cs="Times New Roman"/>
          <w:bCs/>
          <w:color w:val="000000" w:themeColor="text1"/>
          <w:szCs w:val="24"/>
          <w:lang w:val="pt-PT" w:eastAsia="ja-JP"/>
        </w:rPr>
        <w:t xml:space="preserve"> </w:t>
      </w:r>
      <w:r w:rsidR="00FD439C" w:rsidRPr="00EA796A">
        <w:rPr>
          <w:rFonts w:cs="Times New Roman"/>
          <w:b/>
          <w:iCs/>
          <w:color w:val="000000" w:themeColor="text1"/>
          <w:szCs w:val="24"/>
          <w:lang w:val="en-US"/>
        </w:rPr>
        <w:t>(p.29, 30)</w:t>
      </w:r>
    </w:p>
    <w:p w14:paraId="36FE804B" w14:textId="364E4F71" w:rsidR="00FB189B" w:rsidRPr="00EA796A" w:rsidRDefault="00FB189B" w:rsidP="00E052BE">
      <w:pPr>
        <w:numPr>
          <w:ilvl w:val="0"/>
          <w:numId w:val="0"/>
        </w:numPr>
        <w:spacing w:after="0"/>
        <w:rPr>
          <w:rFonts w:cs="Times New Roman"/>
          <w:bCs/>
          <w:color w:val="000000" w:themeColor="text1"/>
          <w:szCs w:val="24"/>
          <w:lang w:val="en-US"/>
        </w:rPr>
      </w:pPr>
      <w:r w:rsidRPr="00EA796A">
        <w:rPr>
          <w:rFonts w:cs="Times New Roman"/>
          <w:bCs/>
          <w:i/>
          <w:color w:val="000000" w:themeColor="text1"/>
          <w:szCs w:val="24"/>
          <w:lang w:val="en-US"/>
        </w:rPr>
        <w:t>Case of the Serrano-Cruz Sisters v. El Salvador</w:t>
      </w:r>
      <w:r w:rsidRPr="00EA796A">
        <w:rPr>
          <w:rFonts w:cs="Times New Roman"/>
          <w:bCs/>
          <w:color w:val="000000" w:themeColor="text1"/>
          <w:szCs w:val="24"/>
          <w:lang w:val="en-US"/>
        </w:rPr>
        <w:t xml:space="preserve"> (Judgment), Inter-Am. Ct. H.R., Ser. C, No. 120, (1 March 2005).</w:t>
      </w:r>
      <w:r w:rsidR="00FD439C" w:rsidRPr="00EA796A">
        <w:rPr>
          <w:rFonts w:cs="Times New Roman"/>
          <w:bCs/>
          <w:color w:val="000000" w:themeColor="text1"/>
          <w:szCs w:val="24"/>
          <w:lang w:val="en-US"/>
        </w:rPr>
        <w:t xml:space="preserve"> </w:t>
      </w:r>
      <w:r w:rsidR="00FD439C" w:rsidRPr="00EA796A">
        <w:rPr>
          <w:rFonts w:cs="Times New Roman"/>
          <w:b/>
          <w:iCs/>
          <w:color w:val="000000" w:themeColor="text1"/>
          <w:szCs w:val="24"/>
          <w:lang w:val="en-US"/>
        </w:rPr>
        <w:t>(p.21)</w:t>
      </w:r>
    </w:p>
    <w:p w14:paraId="4F6E5E9B" w14:textId="2277132C" w:rsidR="00BE3A14" w:rsidRPr="00EA796A" w:rsidRDefault="00BE3A14" w:rsidP="00E052BE">
      <w:pPr>
        <w:numPr>
          <w:ilvl w:val="0"/>
          <w:numId w:val="0"/>
        </w:numPr>
        <w:spacing w:after="0"/>
        <w:rPr>
          <w:rFonts w:cs="Times New Roman"/>
          <w:bCs/>
          <w:color w:val="000000" w:themeColor="text1"/>
          <w:szCs w:val="24"/>
          <w:lang w:val="en-US" w:eastAsia="ja-JP"/>
        </w:rPr>
      </w:pPr>
      <w:r w:rsidRPr="00EA796A">
        <w:rPr>
          <w:rFonts w:cs="Times New Roman"/>
          <w:bCs/>
          <w:i/>
          <w:color w:val="000000" w:themeColor="text1"/>
          <w:szCs w:val="24"/>
          <w:lang w:val="en-US" w:eastAsia="ja-JP"/>
        </w:rPr>
        <w:t>Case of the Yakye Axa Indigenous Community v. Paraguay</w:t>
      </w:r>
      <w:r w:rsidRPr="00EA796A">
        <w:rPr>
          <w:rFonts w:cs="Times New Roman"/>
          <w:bCs/>
          <w:color w:val="000000" w:themeColor="text1"/>
          <w:szCs w:val="24"/>
          <w:lang w:val="en-US" w:eastAsia="ja-JP"/>
        </w:rPr>
        <w:t xml:space="preserve"> (Judgment), Inter-Am. Ct. H.R., Ser. C, No. 125, (17 June 2005).</w:t>
      </w:r>
      <w:r w:rsidR="00FD439C" w:rsidRPr="00EA796A">
        <w:rPr>
          <w:rFonts w:cs="Times New Roman"/>
          <w:bCs/>
          <w:color w:val="000000" w:themeColor="text1"/>
          <w:szCs w:val="24"/>
          <w:lang w:val="en-US" w:eastAsia="ja-JP"/>
        </w:rPr>
        <w:t xml:space="preserve"> </w:t>
      </w:r>
      <w:r w:rsidR="00FD439C" w:rsidRPr="00EA796A">
        <w:rPr>
          <w:rFonts w:cs="Times New Roman"/>
          <w:b/>
          <w:iCs/>
          <w:color w:val="000000" w:themeColor="text1"/>
          <w:szCs w:val="24"/>
          <w:lang w:val="en-US"/>
        </w:rPr>
        <w:t>(p.30)</w:t>
      </w:r>
    </w:p>
    <w:p w14:paraId="2EDD00E9" w14:textId="34230111" w:rsidR="00BD3C49" w:rsidRPr="00EA796A" w:rsidRDefault="009A2ED6" w:rsidP="00E052BE">
      <w:pPr>
        <w:numPr>
          <w:ilvl w:val="0"/>
          <w:numId w:val="0"/>
        </w:numPr>
        <w:spacing w:after="0"/>
        <w:rPr>
          <w:rFonts w:cs="Times New Roman"/>
          <w:color w:val="000000" w:themeColor="text1"/>
          <w:szCs w:val="24"/>
          <w:lang w:val="en-US"/>
        </w:rPr>
      </w:pPr>
      <w:r w:rsidRPr="00EA796A">
        <w:rPr>
          <w:rFonts w:cs="Times New Roman"/>
          <w:bCs/>
          <w:i/>
          <w:color w:val="000000" w:themeColor="text1"/>
          <w:szCs w:val="24"/>
          <w:lang w:val="en-US" w:eastAsia="ja-JP" w:bidi="ar-SA"/>
        </w:rPr>
        <w:t>Case of Valle Jara</w:t>
      </w:r>
      <w:r w:rsidR="009D7765" w:rsidRPr="00EA796A">
        <w:rPr>
          <w:rFonts w:cs="Times New Roman"/>
          <w:bCs/>
          <w:i/>
          <w:color w:val="000000" w:themeColor="text1"/>
          <w:szCs w:val="24"/>
          <w:lang w:val="en-US" w:eastAsia="ja-JP" w:bidi="ar-SA"/>
        </w:rPr>
        <w:t>millo et al. v. Colombia</w:t>
      </w:r>
      <w:r w:rsidR="009D7765" w:rsidRPr="00EA796A">
        <w:rPr>
          <w:rFonts w:cs="Times New Roman"/>
          <w:bCs/>
          <w:color w:val="000000" w:themeColor="text1"/>
          <w:szCs w:val="24"/>
          <w:lang w:val="en-US" w:eastAsia="ja-JP" w:bidi="ar-SA"/>
        </w:rPr>
        <w:t xml:space="preserve"> (Judgment), Inter-Am. Ct. H.R., Ser. C, No. </w:t>
      </w:r>
      <w:r w:rsidRPr="00EA796A">
        <w:rPr>
          <w:rFonts w:cs="Times New Roman"/>
          <w:bCs/>
          <w:color w:val="000000" w:themeColor="text1"/>
          <w:szCs w:val="24"/>
          <w:lang w:val="en-US" w:eastAsia="ja-JP" w:bidi="ar-SA"/>
        </w:rPr>
        <w:t xml:space="preserve">192, </w:t>
      </w:r>
      <w:r w:rsidR="009D7765" w:rsidRPr="00EA796A">
        <w:rPr>
          <w:rFonts w:cs="Times New Roman"/>
          <w:bCs/>
          <w:color w:val="000000" w:themeColor="text1"/>
          <w:szCs w:val="24"/>
          <w:lang w:val="en-US" w:eastAsia="ja-JP" w:bidi="ar-SA"/>
        </w:rPr>
        <w:t xml:space="preserve">(27 November </w:t>
      </w:r>
      <w:r w:rsidRPr="00EA796A">
        <w:rPr>
          <w:rFonts w:cs="Times New Roman"/>
          <w:bCs/>
          <w:color w:val="000000" w:themeColor="text1"/>
          <w:szCs w:val="24"/>
          <w:lang w:val="en-US" w:eastAsia="ja-JP" w:bidi="ar-SA"/>
        </w:rPr>
        <w:t>2008</w:t>
      </w:r>
      <w:r w:rsidR="009D7765" w:rsidRPr="00EA796A">
        <w:rPr>
          <w:rFonts w:cs="Times New Roman"/>
          <w:bCs/>
          <w:color w:val="000000" w:themeColor="text1"/>
          <w:szCs w:val="24"/>
          <w:lang w:val="en-US" w:eastAsia="ja-JP" w:bidi="ar-SA"/>
        </w:rPr>
        <w:t>).</w:t>
      </w:r>
      <w:r w:rsidR="00FD439C" w:rsidRPr="00EA796A">
        <w:rPr>
          <w:rFonts w:cs="Times New Roman"/>
          <w:bCs/>
          <w:color w:val="000000" w:themeColor="text1"/>
          <w:szCs w:val="24"/>
          <w:lang w:val="en-US" w:eastAsia="ja-JP" w:bidi="ar-SA"/>
        </w:rPr>
        <w:t xml:space="preserve"> </w:t>
      </w:r>
      <w:r w:rsidR="00FD439C" w:rsidRPr="00EA796A">
        <w:rPr>
          <w:rFonts w:cs="Times New Roman"/>
          <w:b/>
          <w:iCs/>
          <w:color w:val="000000" w:themeColor="text1"/>
          <w:szCs w:val="24"/>
          <w:lang w:val="en-US"/>
        </w:rPr>
        <w:t>(p.31)</w:t>
      </w:r>
    </w:p>
    <w:p w14:paraId="5B1324AD" w14:textId="2CF54999" w:rsidR="00BD3C49" w:rsidRPr="00EA796A" w:rsidRDefault="00BD3C49"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GB"/>
        </w:rPr>
        <w:t>Case of Vargas-Areco v. Paraguay</w:t>
      </w:r>
      <w:r w:rsidRPr="00EA796A">
        <w:rPr>
          <w:rFonts w:cs="Times New Roman"/>
          <w:color w:val="000000" w:themeColor="text1"/>
          <w:szCs w:val="24"/>
          <w:lang w:val="en-GB"/>
        </w:rPr>
        <w:t xml:space="preserve"> (Judgment)</w:t>
      </w:r>
      <w:r w:rsidRPr="00EA796A">
        <w:rPr>
          <w:rFonts w:cs="Times New Roman"/>
          <w:i/>
          <w:color w:val="000000" w:themeColor="text1"/>
          <w:szCs w:val="24"/>
          <w:lang w:val="en-GB"/>
        </w:rPr>
        <w:t>,</w:t>
      </w:r>
      <w:r w:rsidRPr="00EA796A">
        <w:rPr>
          <w:rFonts w:cs="Times New Roman"/>
          <w:color w:val="000000" w:themeColor="text1"/>
          <w:szCs w:val="24"/>
          <w:lang w:val="en-GB"/>
        </w:rPr>
        <w:t xml:space="preserve"> Inter-Am. Ct. H.R., Ser. C, No. 155, (26 September 2006).</w:t>
      </w:r>
      <w:r w:rsidR="00EC3EFE" w:rsidRPr="00EA796A">
        <w:rPr>
          <w:rFonts w:cs="Times New Roman"/>
          <w:color w:val="000000" w:themeColor="text1"/>
          <w:szCs w:val="24"/>
          <w:lang w:val="en-GB"/>
        </w:rPr>
        <w:t xml:space="preserve"> </w:t>
      </w:r>
      <w:r w:rsidR="00EC3EFE" w:rsidRPr="00EA796A">
        <w:rPr>
          <w:rFonts w:cs="Times New Roman"/>
          <w:b/>
          <w:iCs/>
          <w:color w:val="000000" w:themeColor="text1"/>
          <w:szCs w:val="24"/>
          <w:lang w:val="en-US"/>
        </w:rPr>
        <w:t>(p.36, 37)</w:t>
      </w:r>
    </w:p>
    <w:p w14:paraId="627F3955" w14:textId="36078F98" w:rsidR="007D2F0F" w:rsidRPr="00EA796A" w:rsidRDefault="007D2F0F"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Vel</w:t>
      </w:r>
      <w:r w:rsidRPr="00EA796A">
        <w:rPr>
          <w:rFonts w:cs="Times New Roman"/>
          <w:i/>
          <w:iCs/>
          <w:noProof/>
          <w:color w:val="000000" w:themeColor="text1"/>
          <w:szCs w:val="24"/>
          <w:lang w:val="en-US"/>
        </w:rPr>
        <w:t>á</w:t>
      </w:r>
      <w:r w:rsidRPr="00EA796A">
        <w:rPr>
          <w:rFonts w:cs="Times New Roman"/>
          <w:i/>
          <w:color w:val="000000" w:themeColor="text1"/>
          <w:szCs w:val="24"/>
          <w:lang w:val="en-US"/>
        </w:rPr>
        <w:t>squez-Rodriguez v. Honduras</w:t>
      </w:r>
      <w:r w:rsidRPr="00EA796A">
        <w:rPr>
          <w:rFonts w:cs="Times New Roman"/>
          <w:color w:val="000000" w:themeColor="text1"/>
          <w:szCs w:val="24"/>
          <w:lang w:val="en-US"/>
        </w:rPr>
        <w:t xml:space="preserve"> (Judgment), Inter-Am. Ct. H.R., Ser. C, No. 4, (29 July 1988).</w:t>
      </w:r>
      <w:r w:rsidR="00EC3EFE" w:rsidRPr="00EA796A">
        <w:rPr>
          <w:rFonts w:cs="Times New Roman"/>
          <w:color w:val="000000" w:themeColor="text1"/>
          <w:szCs w:val="24"/>
          <w:lang w:val="en-US"/>
        </w:rPr>
        <w:t xml:space="preserve"> </w:t>
      </w:r>
      <w:r w:rsidR="00EC3EFE" w:rsidRPr="00EA796A">
        <w:rPr>
          <w:rFonts w:cs="Times New Roman"/>
          <w:b/>
          <w:iCs/>
          <w:color w:val="000000" w:themeColor="text1"/>
          <w:szCs w:val="24"/>
          <w:lang w:val="en-US"/>
        </w:rPr>
        <w:t>(p.15, 16, 17, 23, 24, 25, 28)</w:t>
      </w:r>
    </w:p>
    <w:p w14:paraId="50BFEC9C" w14:textId="0FD5404A"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lastRenderedPageBreak/>
        <w:t>Case of Vel</w:t>
      </w:r>
      <w:r w:rsidRPr="00EA796A">
        <w:rPr>
          <w:rFonts w:cs="Times New Roman"/>
          <w:i/>
          <w:iCs/>
          <w:noProof/>
          <w:color w:val="000000" w:themeColor="text1"/>
          <w:szCs w:val="24"/>
          <w:lang w:val="en-US"/>
        </w:rPr>
        <w:t>á</w:t>
      </w:r>
      <w:r w:rsidRPr="00EA796A">
        <w:rPr>
          <w:rFonts w:cs="Times New Roman"/>
          <w:i/>
          <w:color w:val="000000" w:themeColor="text1"/>
          <w:szCs w:val="24"/>
          <w:lang w:val="en-US"/>
        </w:rPr>
        <w:t>squez-Rodriguez v. Honduras</w:t>
      </w:r>
      <w:r w:rsidRPr="00EA796A">
        <w:rPr>
          <w:rFonts w:cs="Times New Roman"/>
          <w:color w:val="000000" w:themeColor="text1"/>
          <w:szCs w:val="24"/>
          <w:lang w:val="en-US"/>
        </w:rPr>
        <w:t xml:space="preserve"> (Judgment), Inter-Am. Ct. H.</w:t>
      </w:r>
      <w:r w:rsidR="007D2F0F" w:rsidRPr="00EA796A">
        <w:rPr>
          <w:rFonts w:cs="Times New Roman"/>
          <w:color w:val="000000" w:themeColor="text1"/>
          <w:szCs w:val="24"/>
          <w:lang w:val="en-US"/>
        </w:rPr>
        <w:t>R., Ser. C, No. 7, (21 July 1989</w:t>
      </w:r>
      <w:r w:rsidRPr="00EA796A">
        <w:rPr>
          <w:rFonts w:cs="Times New Roman"/>
          <w:color w:val="000000" w:themeColor="text1"/>
          <w:szCs w:val="24"/>
          <w:lang w:val="en-US"/>
        </w:rPr>
        <w:t>).</w:t>
      </w:r>
      <w:r w:rsidR="00EC3EFE" w:rsidRPr="00EA796A">
        <w:rPr>
          <w:rFonts w:cs="Times New Roman"/>
          <w:color w:val="000000" w:themeColor="text1"/>
          <w:szCs w:val="24"/>
          <w:lang w:val="en-US"/>
        </w:rPr>
        <w:t xml:space="preserve"> </w:t>
      </w:r>
      <w:r w:rsidR="00EC3EFE" w:rsidRPr="00EA796A">
        <w:rPr>
          <w:rFonts w:cs="Times New Roman"/>
          <w:b/>
          <w:iCs/>
          <w:color w:val="000000" w:themeColor="text1"/>
          <w:szCs w:val="24"/>
          <w:lang w:val="en-US"/>
        </w:rPr>
        <w:t>(p.31)</w:t>
      </w:r>
    </w:p>
    <w:p w14:paraId="04110E6C" w14:textId="769AC50A" w:rsidR="00BE3A14" w:rsidRPr="00EA796A" w:rsidRDefault="00BE3A14" w:rsidP="00E052BE">
      <w:pPr>
        <w:numPr>
          <w:ilvl w:val="0"/>
          <w:numId w:val="0"/>
        </w:numPr>
        <w:spacing w:after="0"/>
        <w:rPr>
          <w:rFonts w:cs="Times New Roman"/>
          <w:bCs/>
          <w:color w:val="000000" w:themeColor="text1"/>
          <w:szCs w:val="24"/>
          <w:lang w:val="pt-PT"/>
        </w:rPr>
      </w:pPr>
      <w:r w:rsidRPr="00EA796A">
        <w:rPr>
          <w:rFonts w:cs="Times New Roman"/>
          <w:i/>
          <w:color w:val="000000" w:themeColor="text1"/>
          <w:szCs w:val="24"/>
          <w:lang w:val="en-US"/>
        </w:rPr>
        <w:t>Case of</w:t>
      </w:r>
      <w:r w:rsidRPr="00EA796A">
        <w:rPr>
          <w:rFonts w:cs="Times New Roman"/>
          <w:b/>
          <w:i/>
          <w:color w:val="000000" w:themeColor="text1"/>
          <w:szCs w:val="24"/>
          <w:lang w:val="en-US"/>
        </w:rPr>
        <w:t xml:space="preserve"> </w:t>
      </w:r>
      <w:r w:rsidRPr="00EA796A">
        <w:rPr>
          <w:rFonts w:cs="Times New Roman"/>
          <w:i/>
          <w:color w:val="000000" w:themeColor="text1"/>
          <w:szCs w:val="24"/>
          <w:lang w:val="en-US"/>
        </w:rPr>
        <w:t>Vélez Loor v. Panama</w:t>
      </w:r>
      <w:r w:rsidRPr="00EA796A">
        <w:rPr>
          <w:rFonts w:cs="Times New Roman"/>
          <w:color w:val="000000" w:themeColor="text1"/>
          <w:szCs w:val="24"/>
          <w:lang w:val="en-US"/>
        </w:rPr>
        <w:t xml:space="preserve"> (Judgment), Inter-Am. </w:t>
      </w:r>
      <w:r w:rsidRPr="00EA796A">
        <w:rPr>
          <w:rFonts w:cs="Times New Roman"/>
          <w:color w:val="000000" w:themeColor="text1"/>
          <w:szCs w:val="24"/>
          <w:lang w:val="pt-PT"/>
        </w:rPr>
        <w:t>Ct. H.R., Ser. C, No. 218 (23 November 2010).</w:t>
      </w:r>
      <w:r w:rsidR="00EC3EFE" w:rsidRPr="00EA796A">
        <w:rPr>
          <w:rFonts w:cs="Times New Roman"/>
          <w:color w:val="000000" w:themeColor="text1"/>
          <w:szCs w:val="24"/>
          <w:lang w:val="pt-PT"/>
        </w:rPr>
        <w:t xml:space="preserve"> </w:t>
      </w:r>
      <w:r w:rsidR="00EC3EFE" w:rsidRPr="00EA796A">
        <w:rPr>
          <w:rFonts w:cs="Times New Roman"/>
          <w:b/>
          <w:iCs/>
          <w:color w:val="000000" w:themeColor="text1"/>
          <w:szCs w:val="24"/>
          <w:lang w:val="pt-PT"/>
        </w:rPr>
        <w:t>(p.13)</w:t>
      </w:r>
    </w:p>
    <w:p w14:paraId="1D62EA54" w14:textId="3C1A4A30" w:rsidR="00BE3A14" w:rsidRPr="00EA796A" w:rsidRDefault="00BE3A14" w:rsidP="00E052BE">
      <w:pPr>
        <w:numPr>
          <w:ilvl w:val="0"/>
          <w:numId w:val="0"/>
        </w:numPr>
        <w:spacing w:after="0"/>
        <w:rPr>
          <w:rFonts w:cs="Times New Roman"/>
          <w:bCs/>
          <w:color w:val="000000" w:themeColor="text1"/>
          <w:szCs w:val="24"/>
          <w:lang w:val="pt-PT" w:eastAsia="ja-JP" w:bidi="ar-SA"/>
        </w:rPr>
      </w:pPr>
      <w:r w:rsidRPr="00EA796A">
        <w:rPr>
          <w:rFonts w:cs="Times New Roman"/>
          <w:bCs/>
          <w:i/>
          <w:color w:val="000000" w:themeColor="text1"/>
          <w:szCs w:val="24"/>
          <w:lang w:val="pt-PT" w:eastAsia="ja-JP" w:bidi="ar-SA"/>
        </w:rPr>
        <w:t>Case of Yatama v. Nicaragua</w:t>
      </w:r>
      <w:r w:rsidRPr="00EA796A">
        <w:rPr>
          <w:rFonts w:cs="Times New Roman"/>
          <w:bCs/>
          <w:color w:val="000000" w:themeColor="text1"/>
          <w:szCs w:val="24"/>
          <w:lang w:val="pt-PT" w:eastAsia="ja-JP" w:bidi="ar-SA"/>
        </w:rPr>
        <w:t xml:space="preserve"> (Judgment), Inter-Am. Ct. H.R., Ser. C, No. 127, (23 June 2005).</w:t>
      </w:r>
      <w:r w:rsidR="00EC3EFE" w:rsidRPr="00EA796A">
        <w:rPr>
          <w:rFonts w:cs="Times New Roman"/>
          <w:bCs/>
          <w:color w:val="000000" w:themeColor="text1"/>
          <w:szCs w:val="24"/>
          <w:lang w:val="pt-PT" w:eastAsia="ja-JP" w:bidi="ar-SA"/>
        </w:rPr>
        <w:t xml:space="preserve"> </w:t>
      </w:r>
      <w:r w:rsidR="00EC3EFE" w:rsidRPr="00EA796A">
        <w:rPr>
          <w:rFonts w:cs="Times New Roman"/>
          <w:b/>
          <w:iCs/>
          <w:color w:val="000000" w:themeColor="text1"/>
          <w:szCs w:val="24"/>
          <w:lang w:val="pt-PT"/>
        </w:rPr>
        <w:t>(p.27, 29)</w:t>
      </w:r>
      <w:r w:rsidR="00EC3EFE" w:rsidRPr="00EA796A">
        <w:rPr>
          <w:rFonts w:cs="Times New Roman"/>
          <w:bCs/>
          <w:color w:val="000000" w:themeColor="text1"/>
          <w:szCs w:val="24"/>
          <w:lang w:val="pt-PT" w:eastAsia="ja-JP" w:bidi="ar-SA"/>
        </w:rPr>
        <w:t xml:space="preserve"> </w:t>
      </w:r>
    </w:p>
    <w:p w14:paraId="6322C6C3" w14:textId="5620585C" w:rsidR="00BE3A14" w:rsidRPr="00EA796A" w:rsidRDefault="00BE3A14"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pt-PT"/>
        </w:rPr>
        <w:t>Case of Zambrano Vélez et al. v. Ecuador</w:t>
      </w:r>
      <w:r w:rsidRPr="00EA796A">
        <w:rPr>
          <w:rFonts w:cs="Times New Roman"/>
          <w:color w:val="000000" w:themeColor="text1"/>
          <w:szCs w:val="24"/>
          <w:lang w:val="pt-PT"/>
        </w:rPr>
        <w:t xml:space="preserve"> (Judgment), Inter-Am. </w:t>
      </w:r>
      <w:r w:rsidRPr="00EA796A">
        <w:rPr>
          <w:rFonts w:cs="Times New Roman"/>
          <w:color w:val="000000" w:themeColor="text1"/>
          <w:szCs w:val="24"/>
          <w:lang w:val="pt-BR"/>
        </w:rPr>
        <w:t>Ct. H.R., Ser. C, No. 166, (4 July 2007).</w:t>
      </w:r>
      <w:r w:rsidR="00EC3EFE" w:rsidRPr="00EA796A">
        <w:rPr>
          <w:rFonts w:cs="Times New Roman"/>
          <w:color w:val="000000" w:themeColor="text1"/>
          <w:szCs w:val="24"/>
          <w:lang w:val="pt-BR"/>
        </w:rPr>
        <w:t xml:space="preserve"> </w:t>
      </w:r>
      <w:r w:rsidR="00EC3EFE" w:rsidRPr="00EA796A">
        <w:rPr>
          <w:rFonts w:cs="Times New Roman"/>
          <w:b/>
          <w:iCs/>
          <w:color w:val="000000" w:themeColor="text1"/>
          <w:szCs w:val="24"/>
          <w:lang w:val="en-US"/>
        </w:rPr>
        <w:t>(p.14, 17, 31)</w:t>
      </w:r>
    </w:p>
    <w:p w14:paraId="4830204C" w14:textId="55843575" w:rsidR="00BE3A14" w:rsidRPr="00EA796A" w:rsidRDefault="00CD1557" w:rsidP="00EF5B4E">
      <w:pPr>
        <w:numPr>
          <w:ilvl w:val="0"/>
          <w:numId w:val="0"/>
        </w:numPr>
        <w:spacing w:after="0"/>
        <w:rPr>
          <w:rFonts w:cs="Times New Roman"/>
          <w:b/>
          <w:bCs/>
          <w:caps/>
          <w:color w:val="000000" w:themeColor="text1"/>
          <w:szCs w:val="24"/>
          <w:lang w:val="en-US"/>
        </w:rPr>
      </w:pPr>
      <w:r w:rsidRPr="00EA796A">
        <w:rPr>
          <w:rFonts w:cs="Times New Roman"/>
          <w:b/>
          <w:bCs/>
          <w:color w:val="000000" w:themeColor="text1"/>
          <w:szCs w:val="24"/>
          <w:lang w:val="en-US"/>
        </w:rPr>
        <w:t>3. Other Commissions And Courts</w:t>
      </w:r>
    </w:p>
    <w:p w14:paraId="7953EE4E" w14:textId="77777777" w:rsidR="00BE3A14" w:rsidRPr="00EA796A" w:rsidRDefault="00BE3A14" w:rsidP="00EF5B4E">
      <w:pPr>
        <w:numPr>
          <w:ilvl w:val="0"/>
          <w:numId w:val="0"/>
        </w:numPr>
        <w:spacing w:after="0"/>
        <w:rPr>
          <w:rFonts w:cs="Times New Roman"/>
          <w:bCs/>
          <w:i/>
          <w:color w:val="000000" w:themeColor="text1"/>
          <w:szCs w:val="24"/>
          <w:u w:val="single"/>
          <w:lang w:val="en-US"/>
        </w:rPr>
      </w:pPr>
      <w:r w:rsidRPr="00EA796A">
        <w:rPr>
          <w:rFonts w:cs="Times New Roman"/>
          <w:bCs/>
          <w:i/>
          <w:color w:val="000000" w:themeColor="text1"/>
          <w:szCs w:val="24"/>
          <w:u w:val="single"/>
          <w:lang w:val="en-US"/>
        </w:rPr>
        <w:t>Reports</w:t>
      </w:r>
    </w:p>
    <w:p w14:paraId="66DB64A4" w14:textId="7D4FBBE2" w:rsidR="00BE3A14" w:rsidRPr="00EA796A" w:rsidRDefault="00BE3A14" w:rsidP="00E052BE">
      <w:pPr>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Times New Roman"/>
          <w:color w:val="000000" w:themeColor="text1"/>
          <w:szCs w:val="24"/>
          <w:lang w:val="en-US" w:eastAsia="nl-NL" w:bidi="ar-SA"/>
        </w:rPr>
      </w:pPr>
      <w:r w:rsidRPr="00EA796A">
        <w:rPr>
          <w:rFonts w:cs="Times New Roman"/>
          <w:i/>
          <w:color w:val="000000" w:themeColor="text1"/>
          <w:szCs w:val="24"/>
          <w:lang w:val="en-US" w:eastAsia="nl-NL" w:bidi="ar-SA"/>
        </w:rPr>
        <w:t>Preliminary report of the Independent Commission of Experts established in accordance with Security Council resolution 935</w:t>
      </w:r>
      <w:r w:rsidRPr="00EA796A">
        <w:rPr>
          <w:rFonts w:cs="Times New Roman"/>
          <w:color w:val="000000" w:themeColor="text1"/>
          <w:szCs w:val="24"/>
          <w:lang w:val="en-US" w:eastAsia="nl-NL" w:bidi="ar-SA"/>
        </w:rPr>
        <w:t>,</w:t>
      </w:r>
      <w:r w:rsidRPr="00EA796A">
        <w:rPr>
          <w:rFonts w:cs="Times New Roman"/>
          <w:i/>
          <w:color w:val="000000" w:themeColor="text1"/>
          <w:szCs w:val="24"/>
          <w:lang w:val="en-US" w:eastAsia="nl-NL" w:bidi="ar-SA"/>
        </w:rPr>
        <w:t xml:space="preserve"> </w:t>
      </w:r>
      <w:r w:rsidRPr="00EA796A">
        <w:rPr>
          <w:rFonts w:cs="Times New Roman"/>
          <w:color w:val="000000" w:themeColor="text1"/>
          <w:szCs w:val="24"/>
          <w:lang w:val="en-US"/>
        </w:rPr>
        <w:t xml:space="preserve">S/1994/1125, </w:t>
      </w:r>
      <w:r w:rsidRPr="00EA796A">
        <w:rPr>
          <w:rFonts w:cs="Times New Roman"/>
          <w:color w:val="000000" w:themeColor="text1"/>
          <w:szCs w:val="24"/>
          <w:lang w:val="en-US" w:eastAsia="nl-NL" w:bidi="ar-SA"/>
        </w:rPr>
        <w:t>(4 October 1994).</w:t>
      </w:r>
      <w:r w:rsidR="00EC3EFE" w:rsidRPr="00EA796A">
        <w:rPr>
          <w:rFonts w:cs="Times New Roman"/>
          <w:color w:val="000000" w:themeColor="text1"/>
          <w:szCs w:val="24"/>
          <w:lang w:val="en-US" w:eastAsia="nl-NL" w:bidi="ar-SA"/>
        </w:rPr>
        <w:t xml:space="preserve"> </w:t>
      </w:r>
      <w:r w:rsidR="005B70C1" w:rsidRPr="00EA796A">
        <w:rPr>
          <w:rFonts w:cs="Times New Roman"/>
          <w:b/>
          <w:iCs/>
          <w:color w:val="000000" w:themeColor="text1"/>
          <w:szCs w:val="24"/>
          <w:lang w:val="en-US"/>
        </w:rPr>
        <w:t>(p.20)</w:t>
      </w:r>
    </w:p>
    <w:p w14:paraId="09B0C458" w14:textId="77777777" w:rsidR="00BE3A14" w:rsidRPr="00EA796A" w:rsidRDefault="00BE3A14" w:rsidP="00E052BE">
      <w:pPr>
        <w:numPr>
          <w:ilvl w:val="0"/>
          <w:numId w:val="0"/>
        </w:numPr>
        <w:spacing w:after="0"/>
        <w:rPr>
          <w:rFonts w:cs="Times New Roman"/>
          <w:bCs/>
          <w:i/>
          <w:color w:val="000000" w:themeColor="text1"/>
          <w:szCs w:val="24"/>
          <w:lang w:val="en-US"/>
        </w:rPr>
      </w:pPr>
      <w:r w:rsidRPr="00EA796A">
        <w:rPr>
          <w:rFonts w:cs="Times New Roman"/>
          <w:bCs/>
          <w:i/>
          <w:color w:val="000000" w:themeColor="text1"/>
          <w:szCs w:val="24"/>
          <w:lang w:val="en-US"/>
        </w:rPr>
        <w:t>Contentious Cases</w:t>
      </w:r>
    </w:p>
    <w:p w14:paraId="266D3C0B" w14:textId="601D0680" w:rsidR="00F22E99" w:rsidRPr="00EA796A" w:rsidRDefault="00F22E99"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Ergi v. Turkey</w:t>
      </w:r>
      <w:r w:rsidRPr="00EA796A">
        <w:rPr>
          <w:rFonts w:cs="Times New Roman"/>
          <w:color w:val="000000" w:themeColor="text1"/>
          <w:szCs w:val="24"/>
          <w:lang w:val="en-US"/>
        </w:rPr>
        <w:t xml:space="preserve"> (Judgment), Eur. Ct. H.R., 40/1993/435/514, (28 July 1998).</w:t>
      </w:r>
      <w:r w:rsidR="005B70C1" w:rsidRPr="00EA796A">
        <w:rPr>
          <w:rFonts w:cs="Times New Roman"/>
          <w:color w:val="000000" w:themeColor="text1"/>
          <w:szCs w:val="24"/>
          <w:lang w:val="en-US"/>
        </w:rPr>
        <w:t xml:space="preserve"> </w:t>
      </w:r>
      <w:r w:rsidR="005B70C1" w:rsidRPr="00EA796A">
        <w:rPr>
          <w:rFonts w:cs="Times New Roman"/>
          <w:b/>
          <w:iCs/>
          <w:color w:val="000000" w:themeColor="text1"/>
          <w:szCs w:val="24"/>
          <w:lang w:val="en-US"/>
        </w:rPr>
        <w:t>(p.35)</w:t>
      </w:r>
    </w:p>
    <w:p w14:paraId="47A52F5D" w14:textId="18AF9869" w:rsidR="00F22E99" w:rsidRPr="00EA796A" w:rsidRDefault="009A2ED6"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Ker</w:t>
      </w:r>
      <w:r w:rsidR="00F22E99" w:rsidRPr="00EA796A">
        <w:rPr>
          <w:rFonts w:cs="Times New Roman"/>
          <w:i/>
          <w:color w:val="000000" w:themeColor="text1"/>
          <w:szCs w:val="24"/>
          <w:lang w:val="en-US"/>
        </w:rPr>
        <w:t>i</w:t>
      </w:r>
      <w:r w:rsidRPr="00EA796A">
        <w:rPr>
          <w:rFonts w:cs="Times New Roman"/>
          <w:i/>
          <w:color w:val="000000" w:themeColor="text1"/>
          <w:szCs w:val="24"/>
          <w:lang w:val="en-US"/>
        </w:rPr>
        <w:t>m</w:t>
      </w:r>
      <w:r w:rsidR="00F22E99" w:rsidRPr="00EA796A">
        <w:rPr>
          <w:rFonts w:cs="Times New Roman"/>
          <w:i/>
          <w:color w:val="000000" w:themeColor="text1"/>
          <w:szCs w:val="24"/>
          <w:lang w:val="en-US"/>
        </w:rPr>
        <w:t xml:space="preserve">ova and Others v. Russia </w:t>
      </w:r>
      <w:r w:rsidR="00F22E99" w:rsidRPr="00EA796A">
        <w:rPr>
          <w:rFonts w:cs="Times New Roman"/>
          <w:color w:val="000000" w:themeColor="text1"/>
          <w:szCs w:val="24"/>
          <w:lang w:val="en-US"/>
        </w:rPr>
        <w:t>(Judgment), Eur. Ct. H.R., Application nos. 17170/04, 20792/04, 22448/04, 23360/04, 5681/05 and 5684/05, (3 May 2011).</w:t>
      </w:r>
      <w:r w:rsidR="005B70C1" w:rsidRPr="00EA796A">
        <w:rPr>
          <w:rFonts w:cs="Times New Roman"/>
          <w:color w:val="000000" w:themeColor="text1"/>
          <w:szCs w:val="24"/>
          <w:lang w:val="en-US"/>
        </w:rPr>
        <w:t xml:space="preserve"> </w:t>
      </w:r>
      <w:r w:rsidR="005B70C1" w:rsidRPr="00EA796A">
        <w:rPr>
          <w:rFonts w:cs="Times New Roman"/>
          <w:b/>
          <w:iCs/>
          <w:color w:val="000000" w:themeColor="text1"/>
          <w:szCs w:val="24"/>
          <w:lang w:val="en-US"/>
        </w:rPr>
        <w:t>(p.35)</w:t>
      </w:r>
    </w:p>
    <w:p w14:paraId="03C1D9BC" w14:textId="54FE6302" w:rsidR="00F22E99" w:rsidRPr="00EA796A" w:rsidRDefault="00F22E99"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Prosecutor v.</w:t>
      </w:r>
      <w:r w:rsidRPr="00EA796A">
        <w:rPr>
          <w:rFonts w:cs="Times New Roman"/>
          <w:color w:val="000000" w:themeColor="text1"/>
          <w:szCs w:val="24"/>
          <w:lang w:val="en-US"/>
        </w:rPr>
        <w:t xml:space="preserve"> </w:t>
      </w:r>
      <w:r w:rsidRPr="00EA796A">
        <w:rPr>
          <w:rFonts w:cs="Times New Roman"/>
          <w:i/>
          <w:color w:val="000000" w:themeColor="text1"/>
          <w:szCs w:val="24"/>
          <w:lang w:val="en-US"/>
        </w:rPr>
        <w:t>Furundžija</w:t>
      </w:r>
      <w:r w:rsidRPr="00EA796A">
        <w:rPr>
          <w:rFonts w:cs="Times New Roman"/>
          <w:color w:val="000000" w:themeColor="text1"/>
          <w:szCs w:val="24"/>
          <w:lang w:val="en-US"/>
        </w:rPr>
        <w:t>, ICTY, IT-95-17/1-T, (10 December 1998).</w:t>
      </w:r>
      <w:r w:rsidR="005B70C1" w:rsidRPr="00EA796A">
        <w:rPr>
          <w:rFonts w:cs="Times New Roman"/>
          <w:color w:val="000000" w:themeColor="text1"/>
          <w:szCs w:val="24"/>
          <w:lang w:val="en-US"/>
        </w:rPr>
        <w:t xml:space="preserve"> </w:t>
      </w:r>
      <w:r w:rsidR="005B70C1" w:rsidRPr="00EA796A">
        <w:rPr>
          <w:rFonts w:cs="Times New Roman"/>
          <w:b/>
          <w:iCs/>
          <w:color w:val="000000" w:themeColor="text1"/>
          <w:szCs w:val="24"/>
          <w:lang w:val="en-US"/>
        </w:rPr>
        <w:t>(p.21)</w:t>
      </w:r>
    </w:p>
    <w:p w14:paraId="3ECAA231" w14:textId="186BB029" w:rsidR="00F22E99" w:rsidRPr="00EA796A" w:rsidRDefault="00F22E99"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Prosecutor v. Halilovic</w:t>
      </w:r>
      <w:r w:rsidRPr="00EA796A">
        <w:rPr>
          <w:rFonts w:cs="Times New Roman"/>
          <w:color w:val="000000" w:themeColor="text1"/>
          <w:szCs w:val="24"/>
          <w:lang w:val="en-US"/>
        </w:rPr>
        <w:t>, ICTY, IT-01-48-T, (16 November 2005).</w:t>
      </w:r>
      <w:r w:rsidR="005B70C1" w:rsidRPr="00EA796A">
        <w:rPr>
          <w:rFonts w:cs="Times New Roman"/>
          <w:color w:val="000000" w:themeColor="text1"/>
          <w:szCs w:val="24"/>
          <w:lang w:val="en-US"/>
        </w:rPr>
        <w:t xml:space="preserve"> </w:t>
      </w:r>
      <w:r w:rsidR="005B70C1" w:rsidRPr="00EA796A">
        <w:rPr>
          <w:rFonts w:cs="Times New Roman"/>
          <w:b/>
          <w:iCs/>
          <w:color w:val="000000" w:themeColor="text1"/>
          <w:szCs w:val="24"/>
          <w:lang w:val="en-US"/>
        </w:rPr>
        <w:t>(p.20)</w:t>
      </w:r>
    </w:p>
    <w:p w14:paraId="7EBD01AC" w14:textId="49870AAE" w:rsidR="00F22E99" w:rsidRPr="00EA796A" w:rsidRDefault="00F22E99" w:rsidP="00E052BE">
      <w:pPr>
        <w:numPr>
          <w:ilvl w:val="0"/>
          <w:numId w:val="0"/>
        </w:numPr>
        <w:spacing w:after="0"/>
        <w:rPr>
          <w:rFonts w:cs="Times New Roman"/>
          <w:color w:val="000000" w:themeColor="text1"/>
          <w:szCs w:val="24"/>
          <w:lang w:val="en-US"/>
        </w:rPr>
      </w:pPr>
      <w:r w:rsidRPr="00EA796A">
        <w:rPr>
          <w:rFonts w:cs="Times New Roman"/>
          <w:i/>
          <w:color w:val="000000" w:themeColor="text1"/>
          <w:szCs w:val="24"/>
          <w:lang w:val="en-US"/>
        </w:rPr>
        <w:t>Case of Prosecutor v. Jean-Pierre Bemba</w:t>
      </w:r>
      <w:r w:rsidRPr="00EA796A">
        <w:rPr>
          <w:rFonts w:cs="Times New Roman"/>
          <w:color w:val="000000" w:themeColor="text1"/>
          <w:szCs w:val="24"/>
          <w:lang w:val="en-US"/>
        </w:rPr>
        <w:t>, ICC, ICC-01/05-01/08, (15 June 2009).</w:t>
      </w:r>
      <w:r w:rsidR="005B70C1" w:rsidRPr="00EA796A">
        <w:rPr>
          <w:rFonts w:cs="Times New Roman"/>
          <w:color w:val="000000" w:themeColor="text1"/>
          <w:szCs w:val="24"/>
          <w:lang w:val="en-US"/>
        </w:rPr>
        <w:t xml:space="preserve"> </w:t>
      </w:r>
      <w:r w:rsidR="005B70C1" w:rsidRPr="00EA796A">
        <w:rPr>
          <w:rFonts w:cs="Times New Roman"/>
          <w:b/>
          <w:iCs/>
          <w:color w:val="000000" w:themeColor="text1"/>
          <w:szCs w:val="24"/>
          <w:lang w:val="en-US"/>
        </w:rPr>
        <w:t>(p.20)</w:t>
      </w:r>
    </w:p>
    <w:p w14:paraId="12C0B2D6" w14:textId="17AA0B2A" w:rsidR="00BE3A14" w:rsidRPr="00EA796A" w:rsidRDefault="00BE3A14" w:rsidP="00EF5B4E">
      <w:pPr>
        <w:pStyle w:val="Heading1"/>
        <w:rPr>
          <w:rFonts w:ascii="Times New Roman" w:hAnsi="Times New Roman" w:cs="Times New Roman"/>
          <w:color w:val="000000" w:themeColor="text1"/>
          <w:sz w:val="24"/>
          <w:szCs w:val="24"/>
        </w:rPr>
      </w:pPr>
      <w:bookmarkStart w:id="6" w:name="_Toc288551013"/>
      <w:bookmarkStart w:id="7" w:name="_Toc288727693"/>
      <w:bookmarkStart w:id="8" w:name="_Toc288789545"/>
      <w:r w:rsidRPr="00EA796A">
        <w:rPr>
          <w:rFonts w:ascii="Times New Roman" w:hAnsi="Times New Roman" w:cs="Times New Roman"/>
          <w:color w:val="000000" w:themeColor="text1"/>
          <w:sz w:val="24"/>
          <w:szCs w:val="24"/>
        </w:rPr>
        <w:lastRenderedPageBreak/>
        <w:t>Statement of Facts</w:t>
      </w:r>
      <w:bookmarkEnd w:id="6"/>
      <w:bookmarkEnd w:id="7"/>
      <w:bookmarkEnd w:id="8"/>
      <w:r w:rsidR="00250877" w:rsidRPr="00EA796A">
        <w:rPr>
          <w:rFonts w:ascii="Times New Roman" w:hAnsi="Times New Roman" w:cs="Times New Roman"/>
          <w:color w:val="000000" w:themeColor="text1"/>
          <w:sz w:val="24"/>
          <w:szCs w:val="24"/>
        </w:rPr>
        <w:t xml:space="preserve"> </w:t>
      </w:r>
    </w:p>
    <w:p w14:paraId="0599749E" w14:textId="3F2FB840" w:rsidR="00BE3A14" w:rsidRPr="00EA796A" w:rsidRDefault="0086538F" w:rsidP="00EF5B4E">
      <w:pPr>
        <w:numPr>
          <w:ilvl w:val="0"/>
          <w:numId w:val="0"/>
        </w:numPr>
        <w:spacing w:after="0"/>
        <w:rPr>
          <w:rFonts w:cs="Times New Roman"/>
          <w:color w:val="000000" w:themeColor="text1"/>
          <w:szCs w:val="24"/>
          <w:lang w:val="en-GB"/>
        </w:rPr>
      </w:pPr>
      <w:r w:rsidRPr="00EA796A">
        <w:rPr>
          <w:rFonts w:cs="Times New Roman"/>
          <w:color w:val="000000" w:themeColor="text1"/>
          <w:szCs w:val="24"/>
          <w:lang w:val="en-GB"/>
        </w:rPr>
        <w:t xml:space="preserve">In the 1990’s the </w:t>
      </w:r>
      <w:r w:rsidRPr="00EA796A">
        <w:rPr>
          <w:rFonts w:cs="Times New Roman"/>
          <w:i/>
          <w:color w:val="000000" w:themeColor="text1"/>
          <w:szCs w:val="24"/>
          <w:lang w:val="en-GB"/>
        </w:rPr>
        <w:t>Movimiento Revolucionario Libertad Boneca</w:t>
      </w:r>
      <w:r w:rsidRPr="00EA796A">
        <w:rPr>
          <w:rFonts w:cs="Times New Roman"/>
          <w:color w:val="000000" w:themeColor="text1"/>
          <w:szCs w:val="24"/>
          <w:lang w:val="en-GB"/>
        </w:rPr>
        <w:t xml:space="preserve"> (</w:t>
      </w:r>
      <w:r w:rsidR="0033704D" w:rsidRPr="00EA796A">
        <w:rPr>
          <w:rFonts w:cs="Times New Roman"/>
          <w:color w:val="000000" w:themeColor="text1"/>
          <w:szCs w:val="24"/>
          <w:lang w:val="en-GB"/>
        </w:rPr>
        <w:t>“MRLB”</w:t>
      </w:r>
      <w:r w:rsidRPr="00EA796A">
        <w:rPr>
          <w:rFonts w:cs="Times New Roman"/>
          <w:color w:val="000000" w:themeColor="text1"/>
          <w:szCs w:val="24"/>
          <w:lang w:val="en-GB"/>
        </w:rPr>
        <w:t xml:space="preserve">) initiated an </w:t>
      </w:r>
      <w:r w:rsidR="00BC7C99" w:rsidRPr="00EA796A">
        <w:rPr>
          <w:rFonts w:cs="Times New Roman"/>
          <w:color w:val="000000" w:themeColor="text1"/>
          <w:szCs w:val="24"/>
          <w:lang w:val="en-GB"/>
        </w:rPr>
        <w:t xml:space="preserve">internal </w:t>
      </w:r>
      <w:r w:rsidRPr="00EA796A">
        <w:rPr>
          <w:rFonts w:cs="Times New Roman"/>
          <w:color w:val="000000" w:themeColor="text1"/>
          <w:szCs w:val="24"/>
          <w:lang w:val="en-GB"/>
        </w:rPr>
        <w:t>armed conflict to overthrow the existing o</w:t>
      </w:r>
      <w:r w:rsidR="0033704D" w:rsidRPr="00EA796A">
        <w:rPr>
          <w:rFonts w:cs="Times New Roman"/>
          <w:color w:val="000000" w:themeColor="text1"/>
          <w:szCs w:val="24"/>
          <w:lang w:val="en-GB"/>
        </w:rPr>
        <w:t>rder of the Cardenal Republic (“the State”</w:t>
      </w:r>
      <w:r w:rsidRPr="00EA796A">
        <w:rPr>
          <w:rFonts w:cs="Times New Roman"/>
          <w:color w:val="000000" w:themeColor="text1"/>
          <w:szCs w:val="24"/>
          <w:lang w:val="en-GB"/>
        </w:rPr>
        <w:t>).</w:t>
      </w:r>
      <w:r w:rsidR="00C86D54" w:rsidRPr="00EA796A">
        <w:rPr>
          <w:rStyle w:val="FootnoteReference"/>
          <w:rFonts w:cs="Times New Roman"/>
          <w:color w:val="000000" w:themeColor="text1"/>
          <w:szCs w:val="24"/>
          <w:lang w:val="en-GB"/>
        </w:rPr>
        <w:footnoteReference w:id="2"/>
      </w:r>
      <w:r w:rsidRPr="00EA796A">
        <w:rPr>
          <w:rFonts w:cs="Times New Roman"/>
          <w:color w:val="000000" w:themeColor="text1"/>
          <w:szCs w:val="24"/>
          <w:lang w:val="en-GB"/>
        </w:rPr>
        <w:t xml:space="preserve"> This guerrilla movement waged attacks against military installations and so-called </w:t>
      </w:r>
      <w:r w:rsidR="008740AF" w:rsidRPr="00EA796A">
        <w:rPr>
          <w:rFonts w:cs="Times New Roman"/>
          <w:i/>
          <w:color w:val="000000" w:themeColor="text1"/>
          <w:szCs w:val="24"/>
          <w:lang w:val="en-GB"/>
        </w:rPr>
        <w:t>“</w:t>
      </w:r>
      <w:r w:rsidRPr="00EA796A">
        <w:rPr>
          <w:rFonts w:cs="Times New Roman"/>
          <w:i/>
          <w:color w:val="000000" w:themeColor="text1"/>
          <w:szCs w:val="24"/>
          <w:lang w:val="en-GB"/>
        </w:rPr>
        <w:t>standard centres of imperialism</w:t>
      </w:r>
      <w:r w:rsidR="008740AF" w:rsidRPr="00EA796A">
        <w:rPr>
          <w:rFonts w:cs="Times New Roman"/>
          <w:i/>
          <w:color w:val="000000" w:themeColor="text1"/>
          <w:szCs w:val="24"/>
          <w:lang w:val="en-GB"/>
        </w:rPr>
        <w:t>”</w:t>
      </w:r>
      <w:r w:rsidRPr="00EA796A">
        <w:rPr>
          <w:rFonts w:cs="Times New Roman"/>
          <w:i/>
          <w:color w:val="000000" w:themeColor="text1"/>
          <w:szCs w:val="24"/>
          <w:vertAlign w:val="superscript"/>
          <w:lang w:val="en-GB"/>
        </w:rPr>
        <w:footnoteReference w:id="3"/>
      </w:r>
      <w:r w:rsidRPr="00EA796A">
        <w:rPr>
          <w:rFonts w:cs="Times New Roman"/>
          <w:color w:val="000000" w:themeColor="text1"/>
          <w:szCs w:val="24"/>
          <w:lang w:val="en-GB"/>
        </w:rPr>
        <w:t>. The latter included civilian targets such as social clubs and schools. In 2000 they kidnapped 23 children on their way to school.</w:t>
      </w:r>
      <w:r w:rsidR="00C86D54" w:rsidRPr="00EA796A">
        <w:rPr>
          <w:rStyle w:val="FootnoteReference"/>
          <w:rFonts w:cs="Times New Roman"/>
          <w:color w:val="000000" w:themeColor="text1"/>
          <w:szCs w:val="24"/>
          <w:lang w:val="en-GB"/>
        </w:rPr>
        <w:footnoteReference w:id="4"/>
      </w:r>
      <w:r w:rsidRPr="00EA796A">
        <w:rPr>
          <w:rFonts w:cs="Times New Roman"/>
          <w:color w:val="000000" w:themeColor="text1"/>
          <w:szCs w:val="24"/>
          <w:lang w:val="en-GB"/>
        </w:rPr>
        <w:t xml:space="preserve"> The State was able to locate the house where the children were kept as well as identify some of the captors, namely Ms. Rossi, Mr. Bolt and Mr. Mukundi.</w:t>
      </w:r>
      <w:r w:rsidR="00C86D54" w:rsidRPr="00EA796A">
        <w:rPr>
          <w:rStyle w:val="FootnoteReference"/>
          <w:rFonts w:cs="Times New Roman"/>
          <w:color w:val="000000" w:themeColor="text1"/>
          <w:szCs w:val="24"/>
          <w:lang w:val="en-GB"/>
        </w:rPr>
        <w:footnoteReference w:id="5"/>
      </w:r>
      <w:r w:rsidRPr="00EA796A">
        <w:rPr>
          <w:rFonts w:cs="Times New Roman"/>
          <w:color w:val="000000" w:themeColor="text1"/>
          <w:szCs w:val="24"/>
          <w:lang w:val="en-GB"/>
        </w:rPr>
        <w:t xml:space="preserve"> </w:t>
      </w:r>
      <w:r w:rsidR="00F22E99" w:rsidRPr="00EA796A">
        <w:rPr>
          <w:rFonts w:cs="Times New Roman"/>
          <w:color w:val="000000" w:themeColor="text1"/>
          <w:szCs w:val="24"/>
          <w:lang w:val="en-GB"/>
        </w:rPr>
        <w:t>After being offered</w:t>
      </w:r>
      <w:r w:rsidRPr="00EA796A">
        <w:rPr>
          <w:rFonts w:cs="Times New Roman"/>
          <w:color w:val="000000" w:themeColor="text1"/>
          <w:szCs w:val="24"/>
          <w:lang w:val="en-GB"/>
        </w:rPr>
        <w:t xml:space="preserve"> the possibility of a peaceful surrender, the </w:t>
      </w:r>
      <w:r w:rsidR="00F22E99" w:rsidRPr="00EA796A">
        <w:rPr>
          <w:rFonts w:cs="Times New Roman"/>
          <w:color w:val="000000" w:themeColor="text1"/>
          <w:szCs w:val="24"/>
          <w:lang w:val="en-GB"/>
        </w:rPr>
        <w:t>captors</w:t>
      </w:r>
      <w:r w:rsidRPr="00EA796A">
        <w:rPr>
          <w:rFonts w:cs="Times New Roman"/>
          <w:color w:val="000000" w:themeColor="text1"/>
          <w:szCs w:val="24"/>
          <w:lang w:val="en-GB"/>
        </w:rPr>
        <w:t xml:space="preserve"> responded with gunfire. During the operation by the joint commando unit, they found long-range weapons and grenades, along with the bodies of four children, who had died from an explosion. Two captors died, while the others, including Rossi, Bolt and Mukundi managed to escape.</w:t>
      </w:r>
      <w:r w:rsidR="00F421AC" w:rsidRPr="00EA796A">
        <w:rPr>
          <w:rStyle w:val="FootnoteReference"/>
          <w:rFonts w:cs="Times New Roman"/>
          <w:color w:val="000000" w:themeColor="text1"/>
          <w:szCs w:val="24"/>
          <w:lang w:val="en-GB"/>
        </w:rPr>
        <w:footnoteReference w:id="6"/>
      </w:r>
      <w:r w:rsidRPr="00EA796A">
        <w:rPr>
          <w:rFonts w:cs="Times New Roman"/>
          <w:color w:val="000000" w:themeColor="text1"/>
          <w:szCs w:val="24"/>
          <w:lang w:val="en-GB"/>
        </w:rPr>
        <w:t xml:space="preserve"> The body of Ms. Rossi was found in June 2000</w:t>
      </w:r>
      <w:r w:rsidR="00F22E99" w:rsidRPr="00EA796A">
        <w:rPr>
          <w:rFonts w:cs="Times New Roman"/>
          <w:color w:val="000000" w:themeColor="text1"/>
          <w:szCs w:val="24"/>
          <w:lang w:val="en-GB"/>
        </w:rPr>
        <w:t>,</w:t>
      </w:r>
      <w:r w:rsidRPr="00EA796A">
        <w:rPr>
          <w:rFonts w:cs="Times New Roman"/>
          <w:color w:val="000000" w:themeColor="text1"/>
          <w:szCs w:val="24"/>
          <w:lang w:val="en-GB"/>
        </w:rPr>
        <w:t xml:space="preserve"> </w:t>
      </w:r>
      <w:r w:rsidR="00F22E99" w:rsidRPr="00EA796A">
        <w:rPr>
          <w:rFonts w:cs="Times New Roman"/>
          <w:color w:val="000000" w:themeColor="text1"/>
          <w:szCs w:val="24"/>
          <w:lang w:val="en-GB"/>
        </w:rPr>
        <w:t>showing</w:t>
      </w:r>
      <w:r w:rsidRPr="00EA796A">
        <w:rPr>
          <w:rFonts w:cs="Times New Roman"/>
          <w:color w:val="000000" w:themeColor="text1"/>
          <w:szCs w:val="24"/>
          <w:lang w:val="en-GB"/>
        </w:rPr>
        <w:t xml:space="preserve"> signs of torture.</w:t>
      </w:r>
      <w:r w:rsidR="00F421AC" w:rsidRPr="00EA796A">
        <w:rPr>
          <w:rStyle w:val="FootnoteReference"/>
          <w:rFonts w:cs="Times New Roman"/>
          <w:color w:val="000000" w:themeColor="text1"/>
          <w:szCs w:val="24"/>
          <w:lang w:val="en-GB"/>
        </w:rPr>
        <w:footnoteReference w:id="7"/>
      </w:r>
      <w:r w:rsidRPr="00EA796A">
        <w:rPr>
          <w:rFonts w:cs="Times New Roman"/>
          <w:color w:val="000000" w:themeColor="text1"/>
          <w:szCs w:val="24"/>
          <w:lang w:val="en-GB"/>
        </w:rPr>
        <w:t xml:space="preserve"> In 2002 authorities captured Mukundi, who was convicted for crimes such as kidnapping, murder and armed rebellion and was sentenced to life in prison.</w:t>
      </w:r>
      <w:r w:rsidR="00F421AC" w:rsidRPr="00EA796A">
        <w:rPr>
          <w:rStyle w:val="FootnoteReference"/>
          <w:rFonts w:cs="Times New Roman"/>
          <w:color w:val="000000" w:themeColor="text1"/>
          <w:szCs w:val="24"/>
          <w:lang w:val="en-GB"/>
        </w:rPr>
        <w:footnoteReference w:id="8"/>
      </w:r>
      <w:r w:rsidR="00F22E99" w:rsidRPr="00EA796A">
        <w:rPr>
          <w:rFonts w:cs="Times New Roman"/>
          <w:color w:val="000000" w:themeColor="text1"/>
          <w:szCs w:val="24"/>
          <w:lang w:val="en-GB"/>
        </w:rPr>
        <w:t xml:space="preserve"> A new government le</w:t>
      </w:r>
      <w:r w:rsidRPr="00EA796A">
        <w:rPr>
          <w:rFonts w:cs="Times New Roman"/>
          <w:color w:val="000000" w:themeColor="text1"/>
          <w:szCs w:val="24"/>
          <w:lang w:val="en-GB"/>
        </w:rPr>
        <w:t xml:space="preserve">d by Gabriela </w:t>
      </w:r>
      <w:r w:rsidR="008E6E8E" w:rsidRPr="00EA796A">
        <w:rPr>
          <w:rFonts w:cs="Times New Roman"/>
          <w:color w:val="000000" w:themeColor="text1"/>
          <w:szCs w:val="24"/>
          <w:lang w:val="en-GB"/>
        </w:rPr>
        <w:t>Nun</w:t>
      </w:r>
      <w:r w:rsidRPr="00EA796A">
        <w:rPr>
          <w:rFonts w:cs="Times New Roman"/>
          <w:color w:val="000000" w:themeColor="text1"/>
          <w:szCs w:val="24"/>
          <w:lang w:val="en-GB"/>
        </w:rPr>
        <w:t xml:space="preserve">es was installed with the aim to achieve peace. In 2008 </w:t>
      </w:r>
      <w:r w:rsidR="00F22E99" w:rsidRPr="00EA796A">
        <w:rPr>
          <w:rFonts w:cs="Times New Roman"/>
          <w:color w:val="000000" w:themeColor="text1"/>
          <w:szCs w:val="24"/>
          <w:lang w:val="en-GB"/>
        </w:rPr>
        <w:t>the</w:t>
      </w:r>
      <w:r w:rsidRPr="00EA796A">
        <w:rPr>
          <w:rFonts w:cs="Times New Roman"/>
          <w:color w:val="000000" w:themeColor="text1"/>
          <w:szCs w:val="24"/>
          <w:lang w:val="en-GB"/>
        </w:rPr>
        <w:t xml:space="preserve"> government and the MRLB reached an agreement on three points: autonomy and recognition of the Boneca, democratic constitutional reform and transition mechanisms to guarantee both p</w:t>
      </w:r>
      <w:r w:rsidR="00C86D54" w:rsidRPr="00EA796A">
        <w:rPr>
          <w:rFonts w:cs="Times New Roman"/>
          <w:color w:val="000000" w:themeColor="text1"/>
          <w:szCs w:val="24"/>
          <w:lang w:val="en-GB"/>
        </w:rPr>
        <w:t>eace and the rights of victims.</w:t>
      </w:r>
      <w:r w:rsidR="00F421AC" w:rsidRPr="00EA796A">
        <w:rPr>
          <w:rStyle w:val="FootnoteReference"/>
          <w:rFonts w:cs="Times New Roman"/>
          <w:color w:val="000000" w:themeColor="text1"/>
          <w:szCs w:val="24"/>
          <w:lang w:val="en-GB"/>
        </w:rPr>
        <w:footnoteReference w:id="9"/>
      </w:r>
      <w:r w:rsidR="00C86D54" w:rsidRPr="00EA796A">
        <w:rPr>
          <w:rFonts w:cs="Times New Roman"/>
          <w:color w:val="000000" w:themeColor="text1"/>
          <w:szCs w:val="24"/>
          <w:lang w:val="en-GB"/>
        </w:rPr>
        <w:t xml:space="preserve"> </w:t>
      </w:r>
      <w:r w:rsidRPr="00EA796A">
        <w:rPr>
          <w:rFonts w:cs="Times New Roman"/>
          <w:color w:val="000000" w:themeColor="text1"/>
          <w:szCs w:val="24"/>
          <w:lang w:val="en-GB"/>
        </w:rPr>
        <w:t>Specialists lauded the reform of the Constitution</w:t>
      </w:r>
      <w:r w:rsidR="00C86D54" w:rsidRPr="00EA796A">
        <w:rPr>
          <w:rFonts w:cs="Times New Roman"/>
          <w:color w:val="000000" w:themeColor="text1"/>
          <w:szCs w:val="24"/>
          <w:lang w:val="en-GB"/>
        </w:rPr>
        <w:t>, which i</w:t>
      </w:r>
      <w:r w:rsidR="00C53226" w:rsidRPr="00EA796A">
        <w:rPr>
          <w:rFonts w:cs="Times New Roman"/>
          <w:color w:val="000000" w:themeColor="text1"/>
          <w:szCs w:val="24"/>
          <w:lang w:val="en-GB"/>
        </w:rPr>
        <w:t>ncluded the establishment of a plurinational r</w:t>
      </w:r>
      <w:r w:rsidR="00C86D54" w:rsidRPr="00EA796A">
        <w:rPr>
          <w:rFonts w:cs="Times New Roman"/>
          <w:color w:val="000000" w:themeColor="text1"/>
          <w:szCs w:val="24"/>
          <w:lang w:val="en-GB"/>
        </w:rPr>
        <w:t xml:space="preserve">epublic, </w:t>
      </w:r>
      <w:r w:rsidRPr="00EA796A">
        <w:rPr>
          <w:rFonts w:cs="Times New Roman"/>
          <w:color w:val="000000" w:themeColor="text1"/>
          <w:szCs w:val="24"/>
          <w:lang w:val="en-GB"/>
        </w:rPr>
        <w:t>and with regard to the Boneca</w:t>
      </w:r>
      <w:r w:rsidR="00C86D54" w:rsidRPr="00EA796A">
        <w:rPr>
          <w:rFonts w:cs="Times New Roman"/>
          <w:color w:val="000000" w:themeColor="text1"/>
          <w:szCs w:val="24"/>
          <w:lang w:val="en-GB"/>
        </w:rPr>
        <w:t>,</w:t>
      </w:r>
      <w:r w:rsidRPr="00EA796A">
        <w:rPr>
          <w:rFonts w:cs="Times New Roman"/>
          <w:color w:val="000000" w:themeColor="text1"/>
          <w:szCs w:val="24"/>
          <w:lang w:val="en-GB"/>
        </w:rPr>
        <w:t xml:space="preserve"> a</w:t>
      </w:r>
      <w:r w:rsidR="00C86D54" w:rsidRPr="00EA796A">
        <w:rPr>
          <w:rFonts w:cs="Times New Roman"/>
          <w:color w:val="000000" w:themeColor="text1"/>
          <w:szCs w:val="24"/>
          <w:lang w:val="en-GB"/>
        </w:rPr>
        <w:t>mongst others, a</w:t>
      </w:r>
      <w:r w:rsidRPr="00EA796A">
        <w:rPr>
          <w:rFonts w:cs="Times New Roman"/>
          <w:color w:val="000000" w:themeColor="text1"/>
          <w:szCs w:val="24"/>
          <w:lang w:val="en-GB"/>
        </w:rPr>
        <w:t xml:space="preserve"> program was agreed to for issuing land titles</w:t>
      </w:r>
      <w:r w:rsidR="00C86D54" w:rsidRPr="00EA796A">
        <w:rPr>
          <w:rFonts w:cs="Times New Roman"/>
          <w:color w:val="000000" w:themeColor="text1"/>
          <w:szCs w:val="24"/>
          <w:lang w:val="en-GB"/>
        </w:rPr>
        <w:t>.</w:t>
      </w:r>
      <w:r w:rsidRPr="00EA796A">
        <w:rPr>
          <w:rFonts w:cs="Times New Roman"/>
          <w:color w:val="000000" w:themeColor="text1"/>
          <w:szCs w:val="24"/>
          <w:lang w:val="en-GB"/>
        </w:rPr>
        <w:t xml:space="preserve"> The government </w:t>
      </w:r>
      <w:r w:rsidRPr="00EA796A">
        <w:rPr>
          <w:rFonts w:cs="Times New Roman"/>
          <w:color w:val="000000" w:themeColor="text1"/>
          <w:szCs w:val="24"/>
          <w:lang w:val="en-GB"/>
        </w:rPr>
        <w:lastRenderedPageBreak/>
        <w:t xml:space="preserve">refused to </w:t>
      </w:r>
      <w:r w:rsidR="008740AF" w:rsidRPr="00EA796A">
        <w:rPr>
          <w:rFonts w:cs="Times New Roman"/>
          <w:color w:val="000000" w:themeColor="text1"/>
          <w:szCs w:val="24"/>
          <w:lang w:val="en-GB"/>
        </w:rPr>
        <w:t>issue a “forgive and forget”</w:t>
      </w:r>
      <w:r w:rsidRPr="00EA796A">
        <w:rPr>
          <w:rFonts w:cs="Times New Roman"/>
          <w:color w:val="000000" w:themeColor="text1"/>
          <w:szCs w:val="24"/>
          <w:lang w:val="en-GB"/>
        </w:rPr>
        <w:t>-policy for the MRLB and the military</w:t>
      </w:r>
      <w:r w:rsidR="00E02CF9" w:rsidRPr="00EA796A">
        <w:rPr>
          <w:rFonts w:cs="Times New Roman"/>
          <w:color w:val="000000" w:themeColor="text1"/>
          <w:szCs w:val="24"/>
          <w:lang w:val="en-GB"/>
        </w:rPr>
        <w:t>, taking into consideration</w:t>
      </w:r>
      <w:r w:rsidRPr="00EA796A">
        <w:rPr>
          <w:rFonts w:cs="Times New Roman"/>
          <w:color w:val="000000" w:themeColor="text1"/>
          <w:szCs w:val="24"/>
          <w:lang w:val="en-GB"/>
        </w:rPr>
        <w:t xml:space="preserve"> the victims’ rights.</w:t>
      </w:r>
      <w:r w:rsidR="00F421AC" w:rsidRPr="00EA796A">
        <w:rPr>
          <w:rStyle w:val="FootnoteReference"/>
          <w:rFonts w:cs="Times New Roman"/>
          <w:color w:val="000000" w:themeColor="text1"/>
          <w:szCs w:val="24"/>
          <w:lang w:val="en-GB"/>
        </w:rPr>
        <w:footnoteReference w:id="10"/>
      </w:r>
      <w:r w:rsidRPr="00EA796A">
        <w:rPr>
          <w:rFonts w:cs="Times New Roman"/>
          <w:color w:val="000000" w:themeColor="text1"/>
          <w:szCs w:val="24"/>
          <w:lang w:val="en-GB"/>
        </w:rPr>
        <w:t xml:space="preserve"> </w:t>
      </w:r>
      <w:r w:rsidR="0033704D" w:rsidRPr="00EA796A">
        <w:rPr>
          <w:rFonts w:cs="Times New Roman"/>
          <w:color w:val="000000" w:themeColor="text1"/>
          <w:szCs w:val="24"/>
          <w:lang w:val="en-GB"/>
        </w:rPr>
        <w:t>A Historical Truth Commission (“HTC”</w:t>
      </w:r>
      <w:r w:rsidRPr="00EA796A">
        <w:rPr>
          <w:rFonts w:cs="Times New Roman"/>
          <w:color w:val="000000" w:themeColor="text1"/>
          <w:szCs w:val="24"/>
          <w:lang w:val="en-GB"/>
        </w:rPr>
        <w:t xml:space="preserve">) was founded. Thereby it was ensured </w:t>
      </w:r>
      <w:r w:rsidR="00F22E99" w:rsidRPr="00EA796A">
        <w:rPr>
          <w:rFonts w:cs="Times New Roman"/>
          <w:color w:val="000000" w:themeColor="text1"/>
          <w:szCs w:val="24"/>
          <w:lang w:val="en-GB"/>
        </w:rPr>
        <w:t xml:space="preserve">that </w:t>
      </w:r>
      <w:r w:rsidRPr="00EA796A">
        <w:rPr>
          <w:rFonts w:cs="Times New Roman"/>
          <w:color w:val="000000" w:themeColor="text1"/>
          <w:szCs w:val="24"/>
          <w:lang w:val="en-GB"/>
        </w:rPr>
        <w:t>all parties were involved. Mr</w:t>
      </w:r>
      <w:r w:rsidR="00F421AC" w:rsidRPr="00EA796A">
        <w:rPr>
          <w:rFonts w:cs="Times New Roman"/>
          <w:color w:val="000000" w:themeColor="text1"/>
          <w:szCs w:val="24"/>
          <w:lang w:val="en-GB"/>
        </w:rPr>
        <w:t>.</w:t>
      </w:r>
      <w:r w:rsidRPr="00EA796A">
        <w:rPr>
          <w:rFonts w:cs="Times New Roman"/>
          <w:color w:val="000000" w:themeColor="text1"/>
          <w:szCs w:val="24"/>
          <w:lang w:val="en-GB"/>
        </w:rPr>
        <w:t xml:space="preserve"> Mukundi testified before the HTC and admitted the MRLB was responsible for the kidnapping of the children. His testimony also alleges state responsibility for the forced disappearance of Mr. Bolt.</w:t>
      </w:r>
      <w:r w:rsidR="00F421AC" w:rsidRPr="00EA796A">
        <w:rPr>
          <w:rStyle w:val="FootnoteReference"/>
          <w:rFonts w:cs="Times New Roman"/>
          <w:color w:val="000000" w:themeColor="text1"/>
          <w:szCs w:val="24"/>
          <w:lang w:val="en-GB"/>
        </w:rPr>
        <w:footnoteReference w:id="11"/>
      </w:r>
      <w:r w:rsidRPr="00EA796A">
        <w:rPr>
          <w:rFonts w:cs="Times New Roman"/>
          <w:color w:val="000000" w:themeColor="text1"/>
          <w:szCs w:val="24"/>
          <w:lang w:val="en-GB"/>
        </w:rPr>
        <w:t xml:space="preserve"> The Accountability, Cl</w:t>
      </w:r>
      <w:r w:rsidR="0033704D" w:rsidRPr="00EA796A">
        <w:rPr>
          <w:rFonts w:cs="Times New Roman"/>
          <w:color w:val="000000" w:themeColor="text1"/>
          <w:szCs w:val="24"/>
          <w:lang w:val="en-GB"/>
        </w:rPr>
        <w:t>osure, and Reconciliation Law (“ACRL”</w:t>
      </w:r>
      <w:r w:rsidRPr="00EA796A">
        <w:rPr>
          <w:rFonts w:cs="Times New Roman"/>
          <w:color w:val="000000" w:themeColor="text1"/>
          <w:szCs w:val="24"/>
          <w:lang w:val="en-GB"/>
        </w:rPr>
        <w:t>) was enacted on 2 January 2008</w:t>
      </w:r>
      <w:r w:rsidR="00C53226" w:rsidRPr="00EA796A">
        <w:rPr>
          <w:rStyle w:val="FootnoteReference"/>
          <w:rFonts w:cs="Times New Roman"/>
          <w:color w:val="000000" w:themeColor="text1"/>
          <w:szCs w:val="24"/>
          <w:lang w:val="en-GB"/>
        </w:rPr>
        <w:footnoteReference w:id="12"/>
      </w:r>
      <w:r w:rsidRPr="00EA796A">
        <w:rPr>
          <w:rFonts w:cs="Times New Roman"/>
          <w:color w:val="000000" w:themeColor="text1"/>
          <w:szCs w:val="24"/>
          <w:lang w:val="en-GB"/>
        </w:rPr>
        <w:t xml:space="preserve"> and created a system to ensure a smooth transitional justice process by the creation of the Specializ</w:t>
      </w:r>
      <w:r w:rsidR="0033704D" w:rsidRPr="00EA796A">
        <w:rPr>
          <w:rFonts w:cs="Times New Roman"/>
          <w:color w:val="000000" w:themeColor="text1"/>
          <w:szCs w:val="24"/>
          <w:lang w:val="en-GB"/>
        </w:rPr>
        <w:t>ed Transitional Tribunal (“STT”</w:t>
      </w:r>
      <w:r w:rsidRPr="00EA796A">
        <w:rPr>
          <w:rFonts w:cs="Times New Roman"/>
          <w:color w:val="000000" w:themeColor="text1"/>
          <w:szCs w:val="24"/>
          <w:lang w:val="en-GB"/>
        </w:rPr>
        <w:t>).</w:t>
      </w:r>
      <w:r w:rsidR="00F421AC" w:rsidRPr="00EA796A">
        <w:rPr>
          <w:rStyle w:val="FootnoteReference"/>
          <w:rFonts w:cs="Times New Roman"/>
          <w:color w:val="000000" w:themeColor="text1"/>
          <w:szCs w:val="24"/>
          <w:lang w:val="en-GB"/>
        </w:rPr>
        <w:footnoteReference w:id="13"/>
      </w:r>
      <w:r w:rsidRPr="00EA796A">
        <w:rPr>
          <w:rFonts w:cs="Times New Roman"/>
          <w:color w:val="000000" w:themeColor="text1"/>
          <w:szCs w:val="24"/>
          <w:lang w:val="en-GB"/>
        </w:rPr>
        <w:t xml:space="preserve"> The agreement negotiated with the MRLB posed practical and political limitations. Therefore</w:t>
      </w:r>
      <w:r w:rsidR="00F22E99" w:rsidRPr="00EA796A">
        <w:rPr>
          <w:rFonts w:cs="Times New Roman"/>
          <w:color w:val="000000" w:themeColor="text1"/>
          <w:szCs w:val="24"/>
          <w:lang w:val="en-GB"/>
        </w:rPr>
        <w:t>,</w:t>
      </w:r>
      <w:r w:rsidRPr="00EA796A">
        <w:rPr>
          <w:rFonts w:cs="Times New Roman"/>
          <w:color w:val="000000" w:themeColor="text1"/>
          <w:szCs w:val="24"/>
          <w:lang w:val="en-GB"/>
        </w:rPr>
        <w:t xml:space="preserve"> it was necessary not to focus exclusively on one measure or form of justice. The measures were applied </w:t>
      </w:r>
      <w:r w:rsidR="00F22E99" w:rsidRPr="00EA796A">
        <w:rPr>
          <w:rFonts w:cs="Times New Roman"/>
          <w:color w:val="000000" w:themeColor="text1"/>
          <w:szCs w:val="24"/>
          <w:lang w:val="en-GB"/>
        </w:rPr>
        <w:t>l</w:t>
      </w:r>
      <w:r w:rsidRPr="00EA796A">
        <w:rPr>
          <w:rFonts w:cs="Times New Roman"/>
          <w:color w:val="000000" w:themeColor="text1"/>
          <w:szCs w:val="24"/>
          <w:lang w:val="en-GB"/>
        </w:rPr>
        <w:t>imitatively and selectively</w:t>
      </w:r>
      <w:r w:rsidR="00F22E99" w:rsidRPr="00EA796A">
        <w:rPr>
          <w:rFonts w:cs="Times New Roman"/>
          <w:color w:val="000000" w:themeColor="text1"/>
          <w:szCs w:val="24"/>
          <w:lang w:val="en-GB"/>
        </w:rPr>
        <w:t>,</w:t>
      </w:r>
      <w:r w:rsidRPr="00EA796A">
        <w:rPr>
          <w:rFonts w:cs="Times New Roman"/>
          <w:color w:val="000000" w:themeColor="text1"/>
          <w:szCs w:val="24"/>
          <w:lang w:val="en-GB"/>
        </w:rPr>
        <w:t xml:space="preserve"> with regard to the most responsible perpetrators and most serious crimes. </w:t>
      </w:r>
      <w:r w:rsidR="00C822A7" w:rsidRPr="00EA796A">
        <w:rPr>
          <w:rFonts w:cs="Times New Roman"/>
          <w:color w:val="000000" w:themeColor="text1"/>
          <w:szCs w:val="24"/>
          <w:lang w:val="en-US"/>
        </w:rPr>
        <w:t>These patterns were investigated in depth by the Public Ministry. Subsequently, a High-Level Commission presided by the Head of Public Ministry, and which involved the participation of the victims, the Government, representatives of the demobilized combatants and of the international co</w:t>
      </w:r>
      <w:r w:rsidR="00F22E99" w:rsidRPr="00EA796A">
        <w:rPr>
          <w:rFonts w:cs="Times New Roman"/>
          <w:color w:val="000000" w:themeColor="text1"/>
          <w:szCs w:val="24"/>
          <w:lang w:val="en-US"/>
        </w:rPr>
        <w:t>mmunity, objectively identified</w:t>
      </w:r>
      <w:r w:rsidR="00C822A7" w:rsidRPr="00EA796A">
        <w:rPr>
          <w:rFonts w:cs="Times New Roman"/>
          <w:color w:val="000000" w:themeColor="text1"/>
          <w:szCs w:val="24"/>
          <w:lang w:val="en-US"/>
        </w:rPr>
        <w:t xml:space="preserve"> the cases and perpetrators to be prosecuted.</w:t>
      </w:r>
      <w:r w:rsidR="00C822A7" w:rsidRPr="00EA796A">
        <w:rPr>
          <w:rStyle w:val="FootnoteReference"/>
          <w:rFonts w:cs="Times New Roman"/>
          <w:color w:val="000000" w:themeColor="text1"/>
          <w:szCs w:val="24"/>
          <w:lang w:val="en-US"/>
        </w:rPr>
        <w:footnoteReference w:id="14"/>
      </w:r>
      <w:r w:rsidR="00C822A7" w:rsidRPr="00EA796A">
        <w:rPr>
          <w:rFonts w:cs="Times New Roman"/>
          <w:color w:val="000000" w:themeColor="text1"/>
          <w:szCs w:val="24"/>
          <w:lang w:val="en-US"/>
        </w:rPr>
        <w:t xml:space="preserve"> </w:t>
      </w:r>
      <w:r w:rsidRPr="00EA796A">
        <w:rPr>
          <w:rFonts w:cs="Times New Roman"/>
          <w:color w:val="000000" w:themeColor="text1"/>
          <w:szCs w:val="24"/>
          <w:lang w:val="en-GB"/>
        </w:rPr>
        <w:t xml:space="preserve">Out of </w:t>
      </w:r>
      <w:r w:rsidR="00C822A7" w:rsidRPr="00EA796A">
        <w:rPr>
          <w:rFonts w:cs="Times New Roman"/>
          <w:color w:val="000000" w:themeColor="text1"/>
          <w:szCs w:val="24"/>
          <w:lang w:val="en-GB"/>
        </w:rPr>
        <w:t>this</w:t>
      </w:r>
      <w:r w:rsidRPr="00EA796A">
        <w:rPr>
          <w:rFonts w:cs="Times New Roman"/>
          <w:color w:val="000000" w:themeColor="text1"/>
          <w:szCs w:val="24"/>
          <w:lang w:val="en-GB"/>
        </w:rPr>
        <w:t xml:space="preserve"> study, 67 individuals were named as the most responsible, including the entire central command of the guerrillas, three former commanders of the armed forces and two former Ministers of War.</w:t>
      </w:r>
      <w:r w:rsidR="00C822A7" w:rsidRPr="00EA796A">
        <w:rPr>
          <w:rStyle w:val="FootnoteReference"/>
          <w:rFonts w:cs="Times New Roman"/>
          <w:color w:val="000000" w:themeColor="text1"/>
          <w:szCs w:val="24"/>
          <w:lang w:val="en-GB"/>
        </w:rPr>
        <w:footnoteReference w:id="15"/>
      </w:r>
      <w:r w:rsidRPr="00EA796A">
        <w:rPr>
          <w:rFonts w:cs="Times New Roman"/>
          <w:color w:val="000000" w:themeColor="text1"/>
          <w:szCs w:val="24"/>
          <w:lang w:val="en-GB"/>
        </w:rPr>
        <w:t xml:space="preserve"> </w:t>
      </w:r>
      <w:r w:rsidR="00C822A7" w:rsidRPr="00EA796A">
        <w:rPr>
          <w:rFonts w:cs="Times New Roman"/>
          <w:color w:val="000000" w:themeColor="text1"/>
          <w:szCs w:val="24"/>
          <w:lang w:val="en-US"/>
        </w:rPr>
        <w:t>The victims could appeal the decision of the High-Level Commission.</w:t>
      </w:r>
      <w:r w:rsidR="00C822A7" w:rsidRPr="00EA796A">
        <w:rPr>
          <w:rStyle w:val="FootnoteReference"/>
          <w:rFonts w:cs="Times New Roman"/>
          <w:color w:val="000000" w:themeColor="text1"/>
          <w:szCs w:val="24"/>
          <w:lang w:val="en-US"/>
        </w:rPr>
        <w:footnoteReference w:id="16"/>
      </w:r>
      <w:r w:rsidR="00C822A7" w:rsidRPr="00EA796A">
        <w:rPr>
          <w:rFonts w:cs="Times New Roman"/>
          <w:color w:val="000000" w:themeColor="text1"/>
          <w:szCs w:val="24"/>
          <w:lang w:val="en-GB"/>
        </w:rPr>
        <w:t xml:space="preserve"> </w:t>
      </w:r>
      <w:r w:rsidRPr="00EA796A">
        <w:rPr>
          <w:rFonts w:cs="Times New Roman"/>
          <w:color w:val="000000" w:themeColor="text1"/>
          <w:szCs w:val="24"/>
          <w:lang w:val="en-GB"/>
        </w:rPr>
        <w:t>The agreement</w:t>
      </w:r>
      <w:r w:rsidR="00C822A7" w:rsidRPr="00EA796A">
        <w:rPr>
          <w:rFonts w:cs="Times New Roman"/>
          <w:color w:val="000000" w:themeColor="text1"/>
          <w:szCs w:val="24"/>
          <w:lang w:val="en-GB"/>
        </w:rPr>
        <w:t xml:space="preserve"> with the MRLB</w:t>
      </w:r>
      <w:r w:rsidRPr="00EA796A">
        <w:rPr>
          <w:rFonts w:cs="Times New Roman"/>
          <w:color w:val="000000" w:themeColor="text1"/>
          <w:szCs w:val="24"/>
          <w:lang w:val="en-GB"/>
        </w:rPr>
        <w:t xml:space="preserve"> also included an arrangement on alternative sentences as punishment.</w:t>
      </w:r>
      <w:r w:rsidR="00C822A7" w:rsidRPr="00EA796A">
        <w:rPr>
          <w:rStyle w:val="FootnoteReference"/>
          <w:rFonts w:cs="Times New Roman"/>
          <w:color w:val="000000" w:themeColor="text1"/>
          <w:szCs w:val="24"/>
          <w:lang w:val="en-GB"/>
        </w:rPr>
        <w:footnoteReference w:id="17"/>
      </w:r>
      <w:r w:rsidRPr="00EA796A">
        <w:rPr>
          <w:rFonts w:cs="Times New Roman"/>
          <w:color w:val="000000" w:themeColor="text1"/>
          <w:szCs w:val="24"/>
          <w:lang w:val="en-GB"/>
        </w:rPr>
        <w:t xml:space="preserve"> All of these transitional measures were passed by a </w:t>
      </w:r>
      <w:r w:rsidRPr="00EA796A">
        <w:rPr>
          <w:rFonts w:cs="Times New Roman"/>
          <w:color w:val="000000" w:themeColor="text1"/>
          <w:szCs w:val="24"/>
          <w:lang w:val="en-GB"/>
        </w:rPr>
        <w:lastRenderedPageBreak/>
        <w:t>majority vote in Congress as well as by a popular referendum, with an approval-rate of 95%.</w:t>
      </w:r>
      <w:r w:rsidR="00C822A7" w:rsidRPr="00EA796A">
        <w:rPr>
          <w:rStyle w:val="FootnoteReference"/>
          <w:rFonts w:cs="Times New Roman"/>
          <w:color w:val="000000" w:themeColor="text1"/>
          <w:szCs w:val="24"/>
          <w:lang w:val="en-GB"/>
        </w:rPr>
        <w:footnoteReference w:id="18"/>
      </w:r>
      <w:r w:rsidR="00C822A7" w:rsidRPr="00EA796A">
        <w:rPr>
          <w:rFonts w:cs="Times New Roman"/>
          <w:color w:val="000000" w:themeColor="text1"/>
          <w:szCs w:val="24"/>
          <w:lang w:val="en-US"/>
        </w:rPr>
        <w:t xml:space="preserve"> </w:t>
      </w:r>
      <w:r w:rsidRPr="00EA796A">
        <w:rPr>
          <w:rFonts w:cs="Times New Roman"/>
          <w:color w:val="000000" w:themeColor="text1"/>
          <w:szCs w:val="24"/>
          <w:lang w:val="en-GB"/>
        </w:rPr>
        <w:t xml:space="preserve">Despite the State’s efforts, three complaints were filed before the </w:t>
      </w:r>
      <w:r w:rsidR="0033704D" w:rsidRPr="00EA796A">
        <w:rPr>
          <w:rFonts w:cs="Times New Roman"/>
          <w:color w:val="000000" w:themeColor="text1"/>
          <w:szCs w:val="24"/>
          <w:lang w:val="en-GB"/>
        </w:rPr>
        <w:t xml:space="preserve">Inter-American </w:t>
      </w:r>
      <w:r w:rsidRPr="00EA796A">
        <w:rPr>
          <w:rFonts w:cs="Times New Roman"/>
          <w:color w:val="000000" w:themeColor="text1"/>
          <w:szCs w:val="24"/>
          <w:lang w:val="en-GB"/>
        </w:rPr>
        <w:t>Commission</w:t>
      </w:r>
      <w:r w:rsidR="0033704D" w:rsidRPr="00EA796A">
        <w:rPr>
          <w:rFonts w:cs="Times New Roman"/>
          <w:color w:val="000000" w:themeColor="text1"/>
          <w:szCs w:val="24"/>
          <w:lang w:val="en-GB"/>
        </w:rPr>
        <w:t xml:space="preserve"> on Human Rights (“the Commission”)</w:t>
      </w:r>
      <w:r w:rsidRPr="00EA796A">
        <w:rPr>
          <w:rFonts w:cs="Times New Roman"/>
          <w:color w:val="000000" w:themeColor="text1"/>
          <w:szCs w:val="24"/>
          <w:lang w:val="en-GB"/>
        </w:rPr>
        <w:t>. Firstly, Mrs. Bolt is alleging state responsibility for the disappearance of her husband as well as for the attacks against the Boneca. She is claiming these acts were not properly prosecuted, the sentences were minimal and the reparations were inadequate.</w:t>
      </w:r>
      <w:r w:rsidR="00C822A7" w:rsidRPr="00EA796A">
        <w:rPr>
          <w:rStyle w:val="FootnoteReference"/>
          <w:rFonts w:cs="Times New Roman"/>
          <w:color w:val="000000" w:themeColor="text1"/>
          <w:szCs w:val="24"/>
          <w:lang w:val="en-GB"/>
        </w:rPr>
        <w:footnoteReference w:id="19"/>
      </w:r>
      <w:r w:rsidRPr="00EA796A">
        <w:rPr>
          <w:rFonts w:cs="Times New Roman"/>
          <w:color w:val="000000" w:themeColor="text1"/>
          <w:szCs w:val="24"/>
          <w:lang w:val="en-GB"/>
        </w:rPr>
        <w:t xml:space="preserve"> Secondly, Mrs. </w:t>
      </w:r>
      <w:r w:rsidR="008740AF" w:rsidRPr="00EA796A">
        <w:rPr>
          <w:rFonts w:cs="Times New Roman"/>
          <w:color w:val="000000" w:themeColor="text1"/>
          <w:szCs w:val="24"/>
          <w:lang w:val="en-US"/>
        </w:rPr>
        <w:t>López</w:t>
      </w:r>
      <w:r w:rsidRPr="00EA796A">
        <w:rPr>
          <w:rFonts w:cs="Times New Roman"/>
          <w:color w:val="000000" w:themeColor="text1"/>
          <w:szCs w:val="24"/>
          <w:lang w:val="en-GB"/>
        </w:rPr>
        <w:t>, the mother of one of the deceased kidnapped children, is alleging violations of the A</w:t>
      </w:r>
      <w:r w:rsidR="00FC66CD" w:rsidRPr="00EA796A">
        <w:rPr>
          <w:rFonts w:cs="Times New Roman"/>
          <w:color w:val="000000" w:themeColor="text1"/>
          <w:szCs w:val="24"/>
          <w:lang w:val="en-GB"/>
        </w:rPr>
        <w:t xml:space="preserve">merican </w:t>
      </w:r>
      <w:r w:rsidRPr="00EA796A">
        <w:rPr>
          <w:rFonts w:cs="Times New Roman"/>
          <w:color w:val="000000" w:themeColor="text1"/>
          <w:szCs w:val="24"/>
          <w:lang w:val="en-GB"/>
        </w:rPr>
        <w:t>C</w:t>
      </w:r>
      <w:r w:rsidR="00FC66CD" w:rsidRPr="00EA796A">
        <w:rPr>
          <w:rFonts w:cs="Times New Roman"/>
          <w:color w:val="000000" w:themeColor="text1"/>
          <w:szCs w:val="24"/>
          <w:lang w:val="en-GB"/>
        </w:rPr>
        <w:t xml:space="preserve">onvention on </w:t>
      </w:r>
      <w:r w:rsidRPr="00EA796A">
        <w:rPr>
          <w:rFonts w:cs="Times New Roman"/>
          <w:color w:val="000000" w:themeColor="text1"/>
          <w:szCs w:val="24"/>
          <w:lang w:val="en-GB"/>
        </w:rPr>
        <w:t>H</w:t>
      </w:r>
      <w:r w:rsidR="00FC66CD" w:rsidRPr="00EA796A">
        <w:rPr>
          <w:rFonts w:cs="Times New Roman"/>
          <w:color w:val="000000" w:themeColor="text1"/>
          <w:szCs w:val="24"/>
          <w:lang w:val="en-GB"/>
        </w:rPr>
        <w:t xml:space="preserve">uman </w:t>
      </w:r>
      <w:r w:rsidRPr="00EA796A">
        <w:rPr>
          <w:rFonts w:cs="Times New Roman"/>
          <w:color w:val="000000" w:themeColor="text1"/>
          <w:szCs w:val="24"/>
          <w:lang w:val="en-GB"/>
        </w:rPr>
        <w:t>R</w:t>
      </w:r>
      <w:r w:rsidR="00FC66CD" w:rsidRPr="00EA796A">
        <w:rPr>
          <w:rFonts w:cs="Times New Roman"/>
          <w:color w:val="000000" w:themeColor="text1"/>
          <w:szCs w:val="24"/>
          <w:lang w:val="en-GB"/>
        </w:rPr>
        <w:t>ights (“ACHR”)</w:t>
      </w:r>
      <w:r w:rsidRPr="00EA796A">
        <w:rPr>
          <w:rFonts w:cs="Times New Roman"/>
          <w:color w:val="000000" w:themeColor="text1"/>
          <w:szCs w:val="24"/>
          <w:lang w:val="en-GB"/>
        </w:rPr>
        <w:t xml:space="preserve"> because of the release of the only person convicted and </w:t>
      </w:r>
      <w:r w:rsidR="00F22E99" w:rsidRPr="00EA796A">
        <w:rPr>
          <w:rFonts w:cs="Times New Roman"/>
          <w:color w:val="000000" w:themeColor="text1"/>
          <w:szCs w:val="24"/>
          <w:lang w:val="en-GB"/>
        </w:rPr>
        <w:t xml:space="preserve">because </w:t>
      </w:r>
      <w:r w:rsidRPr="00EA796A">
        <w:rPr>
          <w:rFonts w:cs="Times New Roman"/>
          <w:color w:val="000000" w:themeColor="text1"/>
          <w:szCs w:val="24"/>
          <w:lang w:val="en-GB"/>
        </w:rPr>
        <w:t>the mastermind of the crime would go unpunished. On top of this, she also claims the reparations do not meet the standards of the Inter-American system.</w:t>
      </w:r>
      <w:r w:rsidR="00C822A7" w:rsidRPr="00EA796A">
        <w:rPr>
          <w:rStyle w:val="FootnoteReference"/>
          <w:rFonts w:cs="Times New Roman"/>
          <w:color w:val="000000" w:themeColor="text1"/>
          <w:szCs w:val="24"/>
          <w:lang w:val="en-GB"/>
        </w:rPr>
        <w:footnoteReference w:id="20"/>
      </w:r>
      <w:r w:rsidRPr="00EA796A">
        <w:rPr>
          <w:rFonts w:cs="Times New Roman"/>
          <w:color w:val="000000" w:themeColor="text1"/>
          <w:szCs w:val="24"/>
          <w:lang w:val="en-GB"/>
        </w:rPr>
        <w:t xml:space="preserve"> Thirdly, Ms. Rossi’s family is alleging state responsibility for her death, the failure to investigate, punish and make reparations.</w:t>
      </w:r>
      <w:r w:rsidR="00C822A7" w:rsidRPr="00EA796A">
        <w:rPr>
          <w:rStyle w:val="FootnoteReference"/>
          <w:rFonts w:cs="Times New Roman"/>
          <w:color w:val="000000" w:themeColor="text1"/>
          <w:szCs w:val="24"/>
          <w:lang w:val="en-GB"/>
        </w:rPr>
        <w:footnoteReference w:id="21"/>
      </w:r>
      <w:r w:rsidRPr="00EA796A">
        <w:rPr>
          <w:rFonts w:cs="Times New Roman"/>
          <w:color w:val="000000" w:themeColor="text1"/>
          <w:szCs w:val="24"/>
          <w:lang w:val="en-GB"/>
        </w:rPr>
        <w:t xml:space="preserve"> Since the Commission determined a violation of certain rights, the State submitted the case to the jurisdiction</w:t>
      </w:r>
      <w:r w:rsidR="0033704D" w:rsidRPr="00EA796A">
        <w:rPr>
          <w:rFonts w:cs="Times New Roman"/>
          <w:color w:val="000000" w:themeColor="text1"/>
          <w:szCs w:val="24"/>
          <w:lang w:val="en-GB"/>
        </w:rPr>
        <w:t xml:space="preserve"> of the Inter-American Court of Human Rights (“the Court”)</w:t>
      </w:r>
      <w:r w:rsidRPr="00EA796A">
        <w:rPr>
          <w:rFonts w:cs="Times New Roman"/>
          <w:color w:val="000000" w:themeColor="text1"/>
          <w:szCs w:val="24"/>
          <w:lang w:val="en-GB"/>
        </w:rPr>
        <w:t>.</w:t>
      </w:r>
      <w:r w:rsidR="0033704D" w:rsidRPr="00EA796A">
        <w:rPr>
          <w:rStyle w:val="FootnoteReference"/>
          <w:rFonts w:cs="Times New Roman"/>
          <w:color w:val="000000" w:themeColor="text1"/>
          <w:szCs w:val="24"/>
          <w:lang w:val="en-GB"/>
        </w:rPr>
        <w:footnoteReference w:id="22"/>
      </w:r>
      <w:r w:rsidRPr="00EA796A">
        <w:rPr>
          <w:rFonts w:cs="Times New Roman"/>
          <w:color w:val="000000" w:themeColor="text1"/>
          <w:szCs w:val="24"/>
          <w:lang w:val="en-GB"/>
        </w:rPr>
        <w:t xml:space="preserve"> In what follows, the State will prove that no violations of the ACHR have occurred.</w:t>
      </w:r>
    </w:p>
    <w:p w14:paraId="0E9715DC" w14:textId="1DD721A1" w:rsidR="00BE3A14" w:rsidRPr="00EA796A" w:rsidRDefault="00BE3A14" w:rsidP="00EF5B4E">
      <w:pPr>
        <w:pStyle w:val="Heading1"/>
        <w:spacing w:before="0" w:after="0"/>
        <w:ind w:left="1080"/>
        <w:rPr>
          <w:rFonts w:ascii="Times New Roman" w:hAnsi="Times New Roman" w:cs="Times New Roman"/>
          <w:color w:val="000000" w:themeColor="text1"/>
          <w:sz w:val="24"/>
          <w:szCs w:val="24"/>
        </w:rPr>
      </w:pPr>
      <w:bookmarkStart w:id="9" w:name="_Toc288551014"/>
      <w:bookmarkStart w:id="10" w:name="_Toc288727694"/>
      <w:bookmarkStart w:id="11" w:name="_Toc288789546"/>
      <w:r w:rsidRPr="00EA796A">
        <w:rPr>
          <w:rFonts w:ascii="Times New Roman" w:hAnsi="Times New Roman" w:cs="Times New Roman"/>
          <w:color w:val="000000" w:themeColor="text1"/>
          <w:sz w:val="24"/>
          <w:szCs w:val="24"/>
        </w:rPr>
        <w:t>Legal analysis</w:t>
      </w:r>
      <w:bookmarkEnd w:id="9"/>
      <w:bookmarkEnd w:id="10"/>
      <w:bookmarkEnd w:id="11"/>
    </w:p>
    <w:p w14:paraId="6B66C009" w14:textId="18011F0E" w:rsidR="00BE3A14" w:rsidRPr="00EA796A" w:rsidRDefault="00BE3A14" w:rsidP="00EF5B4E">
      <w:pPr>
        <w:pStyle w:val="Heading2"/>
        <w:spacing w:after="0"/>
        <w:rPr>
          <w:rFonts w:ascii="Times New Roman" w:hAnsi="Times New Roman" w:cs="Times New Roman"/>
          <w:color w:val="000000" w:themeColor="text1"/>
          <w:sz w:val="24"/>
          <w:szCs w:val="24"/>
        </w:rPr>
      </w:pPr>
      <w:bookmarkStart w:id="12" w:name="_Toc288551015"/>
      <w:bookmarkStart w:id="13" w:name="_Toc288727695"/>
      <w:bookmarkStart w:id="14" w:name="_Toc288789547"/>
      <w:r w:rsidRPr="00EA796A">
        <w:rPr>
          <w:rFonts w:ascii="Times New Roman" w:hAnsi="Times New Roman" w:cs="Times New Roman"/>
          <w:color w:val="000000" w:themeColor="text1"/>
          <w:sz w:val="24"/>
          <w:szCs w:val="24"/>
        </w:rPr>
        <w:t>Jurisdiction</w:t>
      </w:r>
      <w:bookmarkEnd w:id="12"/>
      <w:bookmarkEnd w:id="13"/>
      <w:bookmarkEnd w:id="14"/>
    </w:p>
    <w:p w14:paraId="069555E5" w14:textId="21A5C149" w:rsidR="00E02AE4" w:rsidRPr="00EA796A" w:rsidRDefault="0030600D" w:rsidP="00EF5B4E">
      <w:pPr>
        <w:spacing w:after="0"/>
        <w:rPr>
          <w:rFonts w:cs="Times New Roman"/>
          <w:color w:val="000000" w:themeColor="text1"/>
          <w:szCs w:val="24"/>
          <w:lang w:val="en-GB"/>
        </w:rPr>
      </w:pPr>
      <w:r w:rsidRPr="00EA796A">
        <w:rPr>
          <w:rFonts w:cs="Times New Roman"/>
          <w:color w:val="000000" w:themeColor="text1"/>
          <w:szCs w:val="24"/>
          <w:lang w:val="en-GB"/>
        </w:rPr>
        <w:t>The Court</w:t>
      </w:r>
      <w:r w:rsidR="00E02AE4" w:rsidRPr="00EA796A">
        <w:rPr>
          <w:rFonts w:cs="Times New Roman"/>
          <w:color w:val="000000" w:themeColor="text1"/>
          <w:szCs w:val="24"/>
          <w:lang w:val="en-GB"/>
        </w:rPr>
        <w:t xml:space="preserve"> has jurisdicti</w:t>
      </w:r>
      <w:r w:rsidR="00F22E99" w:rsidRPr="00EA796A">
        <w:rPr>
          <w:rFonts w:cs="Times New Roman"/>
          <w:color w:val="000000" w:themeColor="text1"/>
          <w:szCs w:val="24"/>
          <w:lang w:val="en-GB"/>
        </w:rPr>
        <w:t>on over alleged violations of the ACHR</w:t>
      </w:r>
      <w:r w:rsidR="00E02AE4" w:rsidRPr="00EA796A">
        <w:rPr>
          <w:rFonts w:cs="Times New Roman"/>
          <w:color w:val="000000" w:themeColor="text1"/>
          <w:szCs w:val="24"/>
          <w:lang w:val="en-GB"/>
        </w:rPr>
        <w:t xml:space="preserve">, pursuant to Art. </w:t>
      </w:r>
      <w:r w:rsidR="00A656BC" w:rsidRPr="00EA796A">
        <w:rPr>
          <w:rFonts w:cs="Times New Roman"/>
          <w:color w:val="000000" w:themeColor="text1"/>
          <w:szCs w:val="24"/>
          <w:lang w:val="en-GB"/>
        </w:rPr>
        <w:t xml:space="preserve">61(1) and </w:t>
      </w:r>
      <w:r w:rsidR="00E02AE4" w:rsidRPr="00EA796A">
        <w:rPr>
          <w:rFonts w:cs="Times New Roman"/>
          <w:color w:val="000000" w:themeColor="text1"/>
          <w:szCs w:val="24"/>
          <w:lang w:val="en-GB"/>
        </w:rPr>
        <w:t>62(3) ACHR.</w:t>
      </w:r>
      <w:r w:rsidR="00E02AE4" w:rsidRPr="00EA796A">
        <w:rPr>
          <w:rStyle w:val="FootnoteReference"/>
          <w:rFonts w:cs="Times New Roman"/>
          <w:color w:val="000000" w:themeColor="text1"/>
          <w:szCs w:val="24"/>
          <w:lang w:val="en-GB"/>
        </w:rPr>
        <w:t xml:space="preserve"> </w:t>
      </w:r>
      <w:r w:rsidR="00E02AE4" w:rsidRPr="00EA796A">
        <w:rPr>
          <w:rFonts w:cs="Times New Roman"/>
          <w:color w:val="000000" w:themeColor="text1"/>
          <w:szCs w:val="24"/>
          <w:lang w:val="en-GB"/>
        </w:rPr>
        <w:t xml:space="preserve">However, the Court has no jurisdiction over any violations of International Humanitarian Law </w:t>
      </w:r>
      <w:r w:rsidRPr="00EA796A">
        <w:rPr>
          <w:rFonts w:cs="Times New Roman"/>
          <w:color w:val="000000" w:themeColor="text1"/>
          <w:szCs w:val="24"/>
          <w:lang w:val="en-GB"/>
        </w:rPr>
        <w:t>(“IHL”</w:t>
      </w:r>
      <w:r w:rsidR="00E02AE4" w:rsidRPr="00EA796A">
        <w:rPr>
          <w:rFonts w:cs="Times New Roman"/>
          <w:color w:val="000000" w:themeColor="text1"/>
          <w:szCs w:val="24"/>
          <w:lang w:val="en-GB"/>
        </w:rPr>
        <w:t>)</w:t>
      </w:r>
      <w:r w:rsidR="00E02AE4" w:rsidRPr="00EA796A">
        <w:rPr>
          <w:rStyle w:val="FootnoteReference"/>
          <w:rFonts w:cs="Times New Roman"/>
          <w:color w:val="000000" w:themeColor="text1"/>
          <w:szCs w:val="24"/>
          <w:lang w:val="en-GB"/>
        </w:rPr>
        <w:footnoteReference w:id="23"/>
      </w:r>
      <w:r w:rsidR="00E02AE4" w:rsidRPr="00EA796A">
        <w:rPr>
          <w:rFonts w:cs="Times New Roman"/>
          <w:color w:val="000000" w:themeColor="text1"/>
          <w:szCs w:val="24"/>
          <w:lang w:val="en-GB"/>
        </w:rPr>
        <w:t>, since it can only establish a violation of the ACHR, the Inter-</w:t>
      </w:r>
      <w:r w:rsidR="00E02AE4" w:rsidRPr="00EA796A">
        <w:rPr>
          <w:rFonts w:cs="Times New Roman"/>
          <w:color w:val="000000" w:themeColor="text1"/>
          <w:szCs w:val="24"/>
          <w:lang w:val="en-GB"/>
        </w:rPr>
        <w:lastRenderedPageBreak/>
        <w:t>American Convention on Fo</w:t>
      </w:r>
      <w:r w:rsidRPr="00EA796A">
        <w:rPr>
          <w:rFonts w:cs="Times New Roman"/>
          <w:color w:val="000000" w:themeColor="text1"/>
          <w:szCs w:val="24"/>
          <w:lang w:val="en-GB"/>
        </w:rPr>
        <w:t>rced Disappearances (“the IACFD”</w:t>
      </w:r>
      <w:r w:rsidR="00E02AE4" w:rsidRPr="00EA796A">
        <w:rPr>
          <w:rFonts w:cs="Times New Roman"/>
          <w:color w:val="000000" w:themeColor="text1"/>
          <w:szCs w:val="24"/>
          <w:lang w:val="en-GB"/>
        </w:rPr>
        <w:t>)</w:t>
      </w:r>
      <w:r w:rsidR="00E02AE4" w:rsidRPr="00EA796A">
        <w:rPr>
          <w:rStyle w:val="FootnoteReference"/>
          <w:rFonts w:cs="Times New Roman"/>
          <w:color w:val="000000" w:themeColor="text1"/>
          <w:szCs w:val="24"/>
          <w:lang w:val="en-GB"/>
        </w:rPr>
        <w:footnoteReference w:id="24"/>
      </w:r>
      <w:r w:rsidR="00E02AE4" w:rsidRPr="00EA796A">
        <w:rPr>
          <w:rFonts w:cs="Times New Roman"/>
          <w:color w:val="000000" w:themeColor="text1"/>
          <w:szCs w:val="24"/>
          <w:lang w:val="en-GB"/>
        </w:rPr>
        <w:t xml:space="preserve">, and the Inter-American Convention </w:t>
      </w:r>
      <w:r w:rsidRPr="00EA796A">
        <w:rPr>
          <w:rFonts w:cs="Times New Roman"/>
          <w:color w:val="000000" w:themeColor="text1"/>
          <w:szCs w:val="24"/>
          <w:lang w:val="en-GB"/>
        </w:rPr>
        <w:t>to Prevent and Punish Torture (“the IACPPT”</w:t>
      </w:r>
      <w:r w:rsidR="00E02AE4" w:rsidRPr="00EA796A">
        <w:rPr>
          <w:rFonts w:cs="Times New Roman"/>
          <w:color w:val="000000" w:themeColor="text1"/>
          <w:szCs w:val="24"/>
          <w:lang w:val="en-GB"/>
        </w:rPr>
        <w:t>)</w:t>
      </w:r>
      <w:r w:rsidR="00E02AE4" w:rsidRPr="00EA796A">
        <w:rPr>
          <w:rStyle w:val="FootnoteReference"/>
          <w:rFonts w:cs="Times New Roman"/>
          <w:color w:val="000000" w:themeColor="text1"/>
          <w:szCs w:val="24"/>
          <w:lang w:val="en-GB"/>
        </w:rPr>
        <w:footnoteReference w:id="25"/>
      </w:r>
      <w:r w:rsidR="00E02AE4" w:rsidRPr="00EA796A">
        <w:rPr>
          <w:rFonts w:cs="Times New Roman"/>
          <w:color w:val="000000" w:themeColor="text1"/>
          <w:szCs w:val="24"/>
          <w:lang w:val="en-GB"/>
        </w:rPr>
        <w:t>.</w:t>
      </w:r>
    </w:p>
    <w:p w14:paraId="2A0CDB8E" w14:textId="24F7E875" w:rsidR="00E02AE4" w:rsidRPr="00EA796A" w:rsidRDefault="00E02AE4" w:rsidP="00EF5B4E">
      <w:pPr>
        <w:spacing w:after="0"/>
        <w:rPr>
          <w:rFonts w:cs="Times New Roman"/>
          <w:color w:val="000000" w:themeColor="text1"/>
          <w:szCs w:val="24"/>
          <w:lang w:val="en-GB"/>
        </w:rPr>
      </w:pPr>
      <w:r w:rsidRPr="00EA796A">
        <w:rPr>
          <w:rFonts w:cs="Times New Roman"/>
          <w:color w:val="000000" w:themeColor="text1"/>
          <w:szCs w:val="24"/>
          <w:lang w:val="en-GB"/>
        </w:rPr>
        <w:t xml:space="preserve">Furthermore, the Court lacks jurisdiction </w:t>
      </w:r>
      <w:r w:rsidRPr="00EA796A">
        <w:rPr>
          <w:rFonts w:cs="Times New Roman"/>
          <w:i/>
          <w:color w:val="000000" w:themeColor="text1"/>
          <w:szCs w:val="24"/>
          <w:lang w:val="en-GB"/>
        </w:rPr>
        <w:t>ratione materiae</w:t>
      </w:r>
      <w:r w:rsidRPr="00EA796A">
        <w:rPr>
          <w:rFonts w:cs="Times New Roman"/>
          <w:color w:val="000000" w:themeColor="text1"/>
          <w:szCs w:val="24"/>
          <w:lang w:val="en-GB"/>
        </w:rPr>
        <w:t xml:space="preserve"> over the petitions of Mr. and Ms. Rossi, Mrs. Bolt and Mrs. López since the State already redressed the alleged violations of the ACHR under its domestic law. </w:t>
      </w:r>
      <w:r w:rsidRPr="00EA796A">
        <w:rPr>
          <w:rFonts w:cs="Times New Roman"/>
          <w:color w:val="000000" w:themeColor="text1"/>
          <w:szCs w:val="24"/>
          <w:lang w:val="en-US"/>
        </w:rPr>
        <w:t xml:space="preserve">In </w:t>
      </w:r>
      <w:r w:rsidRPr="00EA796A">
        <w:rPr>
          <w:rFonts w:cs="Times New Roman"/>
          <w:i/>
          <w:color w:val="000000" w:themeColor="text1"/>
          <w:szCs w:val="24"/>
          <w:lang w:val="en-US"/>
        </w:rPr>
        <w:t>Acevedo Jaramillo</w:t>
      </w:r>
      <w:r w:rsidRPr="00EA796A">
        <w:rPr>
          <w:rFonts w:cs="Times New Roman"/>
          <w:color w:val="000000" w:themeColor="text1"/>
          <w:szCs w:val="24"/>
          <w:lang w:val="en-US"/>
        </w:rPr>
        <w:t xml:space="preserve"> the Court specified that “</w:t>
      </w:r>
      <w:r w:rsidRPr="00EA796A">
        <w:rPr>
          <w:rFonts w:cs="Times New Roman"/>
          <w:i/>
          <w:color w:val="000000" w:themeColor="text1"/>
          <w:szCs w:val="24"/>
          <w:lang w:val="en-US"/>
        </w:rPr>
        <w:t xml:space="preserve">the State must resolve the issue in the domestic system and redress the victim before resorting to international forums such as the Inter-American System </w:t>
      </w:r>
      <w:r w:rsidR="00A656BC" w:rsidRPr="00EA796A">
        <w:rPr>
          <w:rFonts w:cs="Times New Roman"/>
          <w:i/>
          <w:color w:val="000000" w:themeColor="text1"/>
          <w:szCs w:val="24"/>
          <w:lang w:val="en-US"/>
        </w:rPr>
        <w:t>[…]</w:t>
      </w:r>
      <w:r w:rsidRPr="00EA796A">
        <w:rPr>
          <w:rFonts w:cs="Times New Roman"/>
          <w:i/>
          <w:color w:val="000000" w:themeColor="text1"/>
          <w:szCs w:val="24"/>
          <w:lang w:val="en-US"/>
        </w:rPr>
        <w:t>”.</w:t>
      </w:r>
      <w:r w:rsidRPr="00EA796A">
        <w:rPr>
          <w:rStyle w:val="FootnoteReference"/>
          <w:rFonts w:cs="Times New Roman"/>
          <w:color w:val="000000" w:themeColor="text1"/>
          <w:szCs w:val="24"/>
        </w:rPr>
        <w:footnoteReference w:id="26"/>
      </w:r>
      <w:r w:rsidRPr="00EA796A">
        <w:rPr>
          <w:rFonts w:cs="Times New Roman"/>
          <w:color w:val="000000" w:themeColor="text1"/>
          <w:szCs w:val="24"/>
          <w:lang w:val="en-US"/>
        </w:rPr>
        <w:t xml:space="preserve"> </w:t>
      </w:r>
      <w:r w:rsidRPr="00EA796A">
        <w:rPr>
          <w:rFonts w:cs="Times New Roman"/>
          <w:color w:val="000000" w:themeColor="text1"/>
          <w:szCs w:val="24"/>
          <w:lang w:val="en-GB"/>
        </w:rPr>
        <w:t xml:space="preserve"> As demonstrated below, the State has thoroughly investigated, tried and punished the persons responsible. Moreover, the petitioners were all adequately compensated under the administrative reparation</w:t>
      </w:r>
      <w:r w:rsidR="00E048F0" w:rsidRPr="00EA796A">
        <w:rPr>
          <w:rFonts w:cs="Times New Roman"/>
          <w:color w:val="000000" w:themeColor="text1"/>
          <w:szCs w:val="24"/>
          <w:lang w:val="en-GB"/>
        </w:rPr>
        <w:t>s</w:t>
      </w:r>
      <w:r w:rsidRPr="00EA796A">
        <w:rPr>
          <w:rFonts w:cs="Times New Roman"/>
          <w:color w:val="000000" w:themeColor="text1"/>
          <w:szCs w:val="24"/>
          <w:lang w:val="en-GB"/>
        </w:rPr>
        <w:t xml:space="preserve"> program, and some even received additional compensation due to court judgments. Taking into account the subsidiarity of the Court’s jurisdiction</w:t>
      </w:r>
      <w:r w:rsidRPr="00EA796A">
        <w:rPr>
          <w:rStyle w:val="FootnoteReference"/>
          <w:rFonts w:cs="Times New Roman"/>
          <w:color w:val="000000" w:themeColor="text1"/>
          <w:szCs w:val="24"/>
          <w:lang w:val="en-GB"/>
        </w:rPr>
        <w:footnoteReference w:id="27"/>
      </w:r>
      <w:r w:rsidRPr="00EA796A">
        <w:rPr>
          <w:rFonts w:cs="Times New Roman"/>
          <w:color w:val="000000" w:themeColor="text1"/>
          <w:szCs w:val="24"/>
          <w:lang w:val="en-GB"/>
        </w:rPr>
        <w:t xml:space="preserve">, </w:t>
      </w:r>
      <w:r w:rsidR="00E048F0" w:rsidRPr="00EA796A">
        <w:rPr>
          <w:rFonts w:cs="Times New Roman"/>
          <w:color w:val="000000" w:themeColor="text1"/>
          <w:szCs w:val="24"/>
          <w:lang w:val="en-GB"/>
        </w:rPr>
        <w:t>it</w:t>
      </w:r>
      <w:r w:rsidRPr="00EA796A">
        <w:rPr>
          <w:rFonts w:cs="Times New Roman"/>
          <w:color w:val="000000" w:themeColor="text1"/>
          <w:szCs w:val="24"/>
          <w:lang w:val="en-GB"/>
        </w:rPr>
        <w:t xml:space="preserve"> lacks jurisdiction </w:t>
      </w:r>
      <w:r w:rsidRPr="00EA796A">
        <w:rPr>
          <w:rFonts w:cs="Times New Roman"/>
          <w:i/>
          <w:color w:val="000000" w:themeColor="text1"/>
          <w:szCs w:val="24"/>
          <w:lang w:val="en-GB"/>
        </w:rPr>
        <w:t>ratione materiae</w:t>
      </w:r>
      <w:r w:rsidRPr="00EA796A">
        <w:rPr>
          <w:rFonts w:cs="Times New Roman"/>
          <w:color w:val="000000" w:themeColor="text1"/>
          <w:szCs w:val="24"/>
          <w:lang w:val="en-GB"/>
        </w:rPr>
        <w:t>.</w:t>
      </w:r>
    </w:p>
    <w:p w14:paraId="69F747E5" w14:textId="0B57FE59" w:rsidR="00E02AE4" w:rsidRPr="00EA796A" w:rsidRDefault="00E02AE4" w:rsidP="00EF5B4E">
      <w:pPr>
        <w:spacing w:after="0"/>
        <w:rPr>
          <w:rFonts w:cs="Times New Roman"/>
          <w:color w:val="000000" w:themeColor="text1"/>
          <w:szCs w:val="24"/>
          <w:lang w:val="en-GB"/>
        </w:rPr>
      </w:pPr>
      <w:r w:rsidRPr="00EA796A">
        <w:rPr>
          <w:rFonts w:cs="Times New Roman"/>
          <w:color w:val="000000" w:themeColor="text1"/>
          <w:szCs w:val="24"/>
          <w:lang w:val="en-GB"/>
        </w:rPr>
        <w:t xml:space="preserve">Lastly, if the petitioners argue that they are not satisfied with what the </w:t>
      </w:r>
      <w:r w:rsidR="00F22E99" w:rsidRPr="00EA796A">
        <w:rPr>
          <w:rFonts w:cs="Times New Roman"/>
          <w:color w:val="000000" w:themeColor="text1"/>
          <w:szCs w:val="24"/>
          <w:lang w:val="en-GB"/>
        </w:rPr>
        <w:t>domestic</w:t>
      </w:r>
      <w:r w:rsidRPr="00EA796A">
        <w:rPr>
          <w:rFonts w:cs="Times New Roman"/>
          <w:color w:val="000000" w:themeColor="text1"/>
          <w:szCs w:val="24"/>
          <w:lang w:val="en-GB"/>
        </w:rPr>
        <w:t xml:space="preserve"> courts have </w:t>
      </w:r>
      <w:r w:rsidR="00F22E99" w:rsidRPr="00EA796A">
        <w:rPr>
          <w:rFonts w:cs="Times New Roman"/>
          <w:color w:val="000000" w:themeColor="text1"/>
          <w:szCs w:val="24"/>
          <w:lang w:val="en-GB"/>
        </w:rPr>
        <w:t>awarded</w:t>
      </w:r>
      <w:r w:rsidRPr="00EA796A">
        <w:rPr>
          <w:rFonts w:cs="Times New Roman"/>
          <w:color w:val="000000" w:themeColor="text1"/>
          <w:szCs w:val="24"/>
          <w:lang w:val="en-GB"/>
        </w:rPr>
        <w:t xml:space="preserve">, it should be noted that they cannot use the Court as a fourth instance. In </w:t>
      </w:r>
      <w:r w:rsidRPr="00EA796A">
        <w:rPr>
          <w:rFonts w:cs="Times New Roman"/>
          <w:i/>
          <w:color w:val="000000" w:themeColor="text1"/>
          <w:szCs w:val="24"/>
          <w:lang w:val="en-US"/>
        </w:rPr>
        <w:t xml:space="preserve">Cabrera García &amp; Montiel </w:t>
      </w:r>
      <w:r w:rsidR="00F22E99" w:rsidRPr="00EA796A">
        <w:rPr>
          <w:rFonts w:cs="Times New Roman"/>
          <w:iCs/>
          <w:color w:val="000000" w:themeColor="text1"/>
          <w:szCs w:val="24"/>
          <w:lang w:val="en-US"/>
        </w:rPr>
        <w:t>the Court has stated</w:t>
      </w:r>
      <w:r w:rsidRPr="00EA796A">
        <w:rPr>
          <w:rFonts w:cs="Times New Roman"/>
          <w:iCs/>
          <w:color w:val="000000" w:themeColor="text1"/>
          <w:szCs w:val="24"/>
          <w:lang w:val="en-US"/>
        </w:rPr>
        <w:t xml:space="preserve">: </w:t>
      </w:r>
      <w:r w:rsidRPr="00EA796A">
        <w:rPr>
          <w:rFonts w:cs="Times New Roman"/>
          <w:i/>
          <w:iCs/>
          <w:color w:val="000000" w:themeColor="text1"/>
          <w:szCs w:val="24"/>
          <w:lang w:val="en-US"/>
        </w:rPr>
        <w:t>“This Court has established that the international jurisdiction is of a subsidiary, reinforcing and complementary nature, and therefore it does not perform the role of a court of “fourth instance.” This means that the Court cannot act as a higher court or as an appeal court in settl</w:t>
      </w:r>
      <w:r w:rsidR="00E048F0" w:rsidRPr="00EA796A">
        <w:rPr>
          <w:rFonts w:cs="Times New Roman"/>
          <w:i/>
          <w:iCs/>
          <w:color w:val="000000" w:themeColor="text1"/>
          <w:szCs w:val="24"/>
          <w:lang w:val="en-US"/>
        </w:rPr>
        <w:t>ing disputes between parties […]</w:t>
      </w:r>
      <w:r w:rsidRPr="00EA796A">
        <w:rPr>
          <w:rFonts w:cs="Times New Roman"/>
          <w:i/>
          <w:iCs/>
          <w:color w:val="000000" w:themeColor="text1"/>
          <w:szCs w:val="24"/>
          <w:lang w:val="en-US"/>
        </w:rPr>
        <w:t>”</w:t>
      </w:r>
      <w:r w:rsidR="00E048F0" w:rsidRPr="00EA796A">
        <w:rPr>
          <w:rFonts w:cs="Times New Roman"/>
          <w:i/>
          <w:iCs/>
          <w:color w:val="000000" w:themeColor="text1"/>
          <w:szCs w:val="24"/>
          <w:lang w:val="en-US"/>
        </w:rPr>
        <w:t>.</w:t>
      </w:r>
      <w:r w:rsidRPr="00EA796A">
        <w:rPr>
          <w:rStyle w:val="FootnoteReference"/>
          <w:rFonts w:cs="Times New Roman"/>
          <w:color w:val="000000" w:themeColor="text1"/>
          <w:szCs w:val="24"/>
          <w:lang w:val="en-US"/>
        </w:rPr>
        <w:footnoteReference w:id="28"/>
      </w:r>
    </w:p>
    <w:p w14:paraId="4E8E0491" w14:textId="1B9F8EAA" w:rsidR="00E02AE4" w:rsidRPr="00EA796A" w:rsidRDefault="00E02AE4" w:rsidP="00EF5B4E">
      <w:pPr>
        <w:spacing w:after="0"/>
        <w:rPr>
          <w:rFonts w:cs="Times New Roman"/>
          <w:color w:val="000000" w:themeColor="text1"/>
          <w:szCs w:val="24"/>
          <w:lang w:val="en-GB"/>
        </w:rPr>
      </w:pPr>
      <w:r w:rsidRPr="00EA796A">
        <w:rPr>
          <w:rFonts w:cs="Times New Roman"/>
          <w:color w:val="000000" w:themeColor="text1"/>
          <w:szCs w:val="24"/>
          <w:lang w:val="en-GB"/>
        </w:rPr>
        <w:t>Consequently</w:t>
      </w:r>
      <w:r w:rsidR="000631AB" w:rsidRPr="00EA796A">
        <w:rPr>
          <w:rFonts w:cs="Times New Roman"/>
          <w:color w:val="000000" w:themeColor="text1"/>
          <w:szCs w:val="24"/>
          <w:lang w:val="en-GB"/>
        </w:rPr>
        <w:t xml:space="preserve">, </w:t>
      </w:r>
      <w:r w:rsidRPr="00EA796A">
        <w:rPr>
          <w:rFonts w:cs="Times New Roman"/>
          <w:color w:val="000000" w:themeColor="text1"/>
          <w:szCs w:val="24"/>
          <w:lang w:val="en-GB"/>
        </w:rPr>
        <w:t xml:space="preserve">the State requests the Court to recognize its lack of jurisdiction </w:t>
      </w:r>
      <w:r w:rsidRPr="00EA796A">
        <w:rPr>
          <w:rFonts w:cs="Times New Roman"/>
          <w:i/>
          <w:iCs/>
          <w:color w:val="000000" w:themeColor="text1"/>
          <w:szCs w:val="24"/>
          <w:lang w:val="en-GB"/>
        </w:rPr>
        <w:t>ratione materiae</w:t>
      </w:r>
      <w:r w:rsidRPr="00EA796A">
        <w:rPr>
          <w:rFonts w:cs="Times New Roman"/>
          <w:color w:val="000000" w:themeColor="text1"/>
          <w:szCs w:val="24"/>
          <w:lang w:val="en-GB"/>
        </w:rPr>
        <w:t>.</w:t>
      </w:r>
    </w:p>
    <w:p w14:paraId="79DFA349" w14:textId="77777777" w:rsidR="00BE3A14" w:rsidRPr="00EA796A" w:rsidRDefault="00BE3A14" w:rsidP="00EF5B4E">
      <w:pPr>
        <w:pStyle w:val="Heading2"/>
        <w:spacing w:after="0"/>
        <w:ind w:left="720" w:hanging="360"/>
        <w:rPr>
          <w:rFonts w:ascii="Times New Roman" w:hAnsi="Times New Roman" w:cs="Times New Roman"/>
          <w:color w:val="000000" w:themeColor="text1"/>
          <w:sz w:val="24"/>
          <w:szCs w:val="24"/>
          <w:lang w:val="en-US"/>
        </w:rPr>
      </w:pPr>
      <w:bookmarkStart w:id="15" w:name="_Toc288551016"/>
      <w:bookmarkStart w:id="16" w:name="_Toc288727696"/>
      <w:bookmarkStart w:id="17" w:name="_Toc288789548"/>
      <w:r w:rsidRPr="00EA796A">
        <w:rPr>
          <w:rFonts w:ascii="Times New Roman" w:hAnsi="Times New Roman" w:cs="Times New Roman"/>
          <w:color w:val="000000" w:themeColor="text1"/>
          <w:sz w:val="24"/>
          <w:szCs w:val="24"/>
          <w:lang w:val="en-US"/>
        </w:rPr>
        <w:lastRenderedPageBreak/>
        <w:t>Preliminary Objections</w:t>
      </w:r>
      <w:bookmarkEnd w:id="15"/>
      <w:bookmarkEnd w:id="16"/>
      <w:bookmarkEnd w:id="17"/>
    </w:p>
    <w:p w14:paraId="685A821C" w14:textId="2B5FAFED" w:rsidR="00BE3A14" w:rsidRPr="00EA796A" w:rsidRDefault="00BE3A14" w:rsidP="00EF5B4E">
      <w:pPr>
        <w:pStyle w:val="Heading3"/>
        <w:numPr>
          <w:ilvl w:val="0"/>
          <w:numId w:val="5"/>
        </w:numPr>
        <w:rPr>
          <w:color w:val="000000" w:themeColor="text1"/>
        </w:rPr>
      </w:pPr>
      <w:bookmarkStart w:id="18" w:name="_Toc288551017"/>
      <w:bookmarkStart w:id="19" w:name="_Toc288727697"/>
      <w:bookmarkStart w:id="20" w:name="_Toc288789549"/>
      <w:r w:rsidRPr="00EA796A">
        <w:rPr>
          <w:color w:val="000000" w:themeColor="text1"/>
        </w:rPr>
        <w:t>The petitioners failed to exhaust the domestic remedies</w:t>
      </w:r>
      <w:bookmarkEnd w:id="18"/>
      <w:bookmarkEnd w:id="19"/>
      <w:r w:rsidR="009E6AB7" w:rsidRPr="00EA796A">
        <w:rPr>
          <w:color w:val="000000" w:themeColor="text1"/>
        </w:rPr>
        <w:t xml:space="preserve"> (Art. 46(1)(a), 46(2) and 47(a) ACHR)</w:t>
      </w:r>
      <w:bookmarkEnd w:id="20"/>
    </w:p>
    <w:p w14:paraId="7BA7C811" w14:textId="3FEFACA8" w:rsidR="00740802" w:rsidRPr="00EA796A" w:rsidRDefault="00740802" w:rsidP="00EF5B4E">
      <w:pPr>
        <w:spacing w:after="0"/>
        <w:rPr>
          <w:rFonts w:cs="Times New Roman"/>
          <w:color w:val="000000" w:themeColor="text1"/>
          <w:szCs w:val="24"/>
          <w:lang w:val="en-US"/>
        </w:rPr>
      </w:pPr>
      <w:r w:rsidRPr="00EA796A">
        <w:rPr>
          <w:rFonts w:cs="Times New Roman"/>
          <w:color w:val="000000" w:themeColor="text1"/>
          <w:szCs w:val="24"/>
          <w:lang w:val="en-GB"/>
        </w:rPr>
        <w:t xml:space="preserve">The State filed its preliminary objections regarding the petitions </w:t>
      </w:r>
      <w:r w:rsidR="00002AAE" w:rsidRPr="00EA796A">
        <w:rPr>
          <w:rFonts w:cs="Times New Roman"/>
          <w:color w:val="000000" w:themeColor="text1"/>
          <w:szCs w:val="24"/>
          <w:lang w:val="en-GB"/>
        </w:rPr>
        <w:t xml:space="preserve">of </w:t>
      </w:r>
      <w:r w:rsidRPr="00EA796A">
        <w:rPr>
          <w:rFonts w:cs="Times New Roman"/>
          <w:color w:val="000000" w:themeColor="text1"/>
          <w:szCs w:val="24"/>
          <w:lang w:val="en-GB"/>
        </w:rPr>
        <w:t>Mrs. López and Mr. and Ms. Rossi in August 2009, when the petitions were still in the admissibility phase before the Commission.</w:t>
      </w:r>
      <w:r w:rsidRPr="00EA796A">
        <w:rPr>
          <w:rStyle w:val="FootnoteReference"/>
          <w:rFonts w:cs="Times New Roman"/>
          <w:color w:val="000000" w:themeColor="text1"/>
          <w:szCs w:val="24"/>
          <w:lang w:val="en-GB"/>
        </w:rPr>
        <w:footnoteReference w:id="29"/>
      </w:r>
      <w:r w:rsidRPr="00EA796A">
        <w:rPr>
          <w:rFonts w:cs="Times New Roman"/>
          <w:color w:val="000000" w:themeColor="text1"/>
          <w:szCs w:val="24"/>
          <w:lang w:val="en-GB"/>
        </w:rPr>
        <w:t xml:space="preserve"> Since the State raised the objections at the earliest opportunity in the process, namely in its response to the petitions that gave rise to the proceedings</w:t>
      </w:r>
      <w:r w:rsidRPr="00EA796A">
        <w:rPr>
          <w:rFonts w:cs="Times New Roman"/>
          <w:color w:val="000000" w:themeColor="text1"/>
          <w:szCs w:val="24"/>
          <w:lang w:val="en-US"/>
        </w:rPr>
        <w:t xml:space="preserve">, </w:t>
      </w:r>
      <w:r w:rsidRPr="00EA796A">
        <w:rPr>
          <w:rFonts w:cs="Times New Roman"/>
          <w:color w:val="000000" w:themeColor="text1"/>
          <w:szCs w:val="24"/>
          <w:lang w:val="en-GB"/>
        </w:rPr>
        <w:t>the State filed them in a timely manner.</w:t>
      </w:r>
      <w:r w:rsidRPr="00EA796A">
        <w:rPr>
          <w:rStyle w:val="FootnoteReference"/>
          <w:rFonts w:cs="Times New Roman"/>
          <w:color w:val="000000" w:themeColor="text1"/>
          <w:szCs w:val="24"/>
          <w:lang w:val="en-GB"/>
        </w:rPr>
        <w:footnoteReference w:id="30"/>
      </w:r>
      <w:r w:rsidRPr="00EA796A">
        <w:rPr>
          <w:rFonts w:cs="Times New Roman"/>
          <w:color w:val="000000" w:themeColor="text1"/>
          <w:szCs w:val="24"/>
          <w:lang w:val="en-GB"/>
        </w:rPr>
        <w:t xml:space="preserve"> For this reason, the Court should take into account the following arguments.</w:t>
      </w:r>
    </w:p>
    <w:p w14:paraId="6EB334D4" w14:textId="709513AD" w:rsidR="00740802" w:rsidRPr="00EA796A" w:rsidRDefault="00740802" w:rsidP="00EF5B4E">
      <w:pPr>
        <w:spacing w:after="0"/>
        <w:rPr>
          <w:rFonts w:cs="Times New Roman"/>
          <w:color w:val="000000" w:themeColor="text1"/>
          <w:szCs w:val="24"/>
          <w:lang w:val="en-GB"/>
        </w:rPr>
      </w:pPr>
      <w:r w:rsidRPr="00EA796A">
        <w:rPr>
          <w:rFonts w:cs="Times New Roman"/>
          <w:color w:val="000000" w:themeColor="text1"/>
          <w:szCs w:val="24"/>
          <w:lang w:val="en-GB"/>
        </w:rPr>
        <w:t>Firstly, Mrs. López did not comply with Art. 46(1)(a) and 47(a) ACHR since she did not exhaust domestic remedies prior to submitting her petition before the Commission. Thereby, she disregarded the State’s competence to resolve the matter under its internal law before being confronted with international proceedings.</w:t>
      </w:r>
      <w:r w:rsidRPr="00EA796A">
        <w:rPr>
          <w:rStyle w:val="FootnoteReference"/>
          <w:rFonts w:cs="Times New Roman"/>
          <w:color w:val="000000" w:themeColor="text1"/>
          <w:szCs w:val="24"/>
          <w:lang w:val="en-GB"/>
        </w:rPr>
        <w:footnoteReference w:id="31"/>
      </w:r>
      <w:r w:rsidRPr="00EA796A">
        <w:rPr>
          <w:rFonts w:cs="Times New Roman"/>
          <w:color w:val="000000" w:themeColor="text1"/>
          <w:szCs w:val="24"/>
          <w:lang w:val="en-GB"/>
        </w:rPr>
        <w:t xml:space="preserve"> M</w:t>
      </w:r>
      <w:r w:rsidR="00002AAE" w:rsidRPr="00EA796A">
        <w:rPr>
          <w:rFonts w:cs="Times New Roman"/>
          <w:color w:val="000000" w:themeColor="text1"/>
          <w:szCs w:val="24"/>
          <w:lang w:val="en-GB"/>
        </w:rPr>
        <w:t>rs. López claims in her petition</w:t>
      </w:r>
      <w:r w:rsidRPr="00EA796A">
        <w:rPr>
          <w:rFonts w:cs="Times New Roman"/>
          <w:color w:val="000000" w:themeColor="text1"/>
          <w:szCs w:val="24"/>
          <w:lang w:val="en-GB"/>
        </w:rPr>
        <w:t>, which was admitted by the Commission in February 2012,</w:t>
      </w:r>
      <w:r w:rsidRPr="00EA796A">
        <w:rPr>
          <w:rStyle w:val="FootnoteReference"/>
          <w:rFonts w:cs="Times New Roman"/>
          <w:color w:val="000000" w:themeColor="text1"/>
          <w:szCs w:val="24"/>
          <w:lang w:val="en-GB"/>
        </w:rPr>
        <w:footnoteReference w:id="32"/>
      </w:r>
      <w:r w:rsidRPr="00EA796A">
        <w:rPr>
          <w:rFonts w:cs="Times New Roman"/>
          <w:color w:val="000000" w:themeColor="text1"/>
          <w:szCs w:val="24"/>
          <w:lang w:val="en-GB"/>
        </w:rPr>
        <w:t xml:space="preserve"> that she did not receive adequate reparations.</w:t>
      </w:r>
      <w:r w:rsidRPr="00EA796A">
        <w:rPr>
          <w:rStyle w:val="FootnoteReference"/>
          <w:rFonts w:cs="Times New Roman"/>
          <w:color w:val="000000" w:themeColor="text1"/>
          <w:szCs w:val="24"/>
          <w:lang w:val="en-GB"/>
        </w:rPr>
        <w:footnoteReference w:id="33"/>
      </w:r>
      <w:r w:rsidRPr="00EA796A">
        <w:rPr>
          <w:rFonts w:cs="Times New Roman"/>
          <w:color w:val="000000" w:themeColor="text1"/>
          <w:szCs w:val="24"/>
          <w:lang w:val="en-GB"/>
        </w:rPr>
        <w:t xml:space="preserve"> However, she had the possibility to allege state responsibility before the </w:t>
      </w:r>
      <w:r w:rsidR="008740AF" w:rsidRPr="00EA796A">
        <w:rPr>
          <w:rFonts w:cs="Times New Roman"/>
          <w:color w:val="000000" w:themeColor="text1"/>
          <w:szCs w:val="24"/>
          <w:lang w:val="en-GB"/>
        </w:rPr>
        <w:t>Council of State (“CoS”</w:t>
      </w:r>
      <w:r w:rsidRPr="00EA796A">
        <w:rPr>
          <w:rFonts w:cs="Times New Roman"/>
          <w:color w:val="000000" w:themeColor="text1"/>
          <w:szCs w:val="24"/>
          <w:lang w:val="en-GB"/>
        </w:rPr>
        <w:t>), the judicial body competent for examining lawsuits against the State.</w:t>
      </w:r>
      <w:r w:rsidRPr="00EA796A">
        <w:rPr>
          <w:rStyle w:val="FootnoteReference"/>
          <w:rFonts w:cs="Times New Roman"/>
          <w:color w:val="000000" w:themeColor="text1"/>
          <w:szCs w:val="24"/>
          <w:lang w:val="en-GB"/>
        </w:rPr>
        <w:footnoteReference w:id="34"/>
      </w:r>
      <w:r w:rsidRPr="00EA796A">
        <w:rPr>
          <w:rFonts w:cs="Times New Roman"/>
          <w:color w:val="000000" w:themeColor="text1"/>
          <w:szCs w:val="24"/>
          <w:lang w:val="en-GB"/>
        </w:rPr>
        <w:t xml:space="preserve"> </w:t>
      </w:r>
      <w:r w:rsidR="00002AAE" w:rsidRPr="00EA796A">
        <w:rPr>
          <w:rFonts w:cs="Times New Roman"/>
          <w:color w:val="000000" w:themeColor="text1"/>
          <w:szCs w:val="24"/>
          <w:lang w:val="en-GB"/>
        </w:rPr>
        <w:t>Had</w:t>
      </w:r>
      <w:r w:rsidRPr="00EA796A">
        <w:rPr>
          <w:rFonts w:cs="Times New Roman"/>
          <w:color w:val="000000" w:themeColor="text1"/>
          <w:szCs w:val="24"/>
          <w:lang w:val="en-GB"/>
        </w:rPr>
        <w:t xml:space="preserve"> this Court found state responsibility, it could hav</w:t>
      </w:r>
      <w:r w:rsidR="00002AAE" w:rsidRPr="00EA796A">
        <w:rPr>
          <w:rFonts w:cs="Times New Roman"/>
          <w:color w:val="000000" w:themeColor="text1"/>
          <w:szCs w:val="24"/>
          <w:lang w:val="en-GB"/>
        </w:rPr>
        <w:t xml:space="preserve">e awarded additional reparations </w:t>
      </w:r>
      <w:r w:rsidRPr="00EA796A">
        <w:rPr>
          <w:rFonts w:cs="Times New Roman"/>
          <w:color w:val="000000" w:themeColor="text1"/>
          <w:szCs w:val="24"/>
          <w:lang w:val="en-GB"/>
        </w:rPr>
        <w:t xml:space="preserve">for the amount not covered by the reparations program. </w:t>
      </w:r>
      <w:r w:rsidR="00916F83" w:rsidRPr="00EA796A">
        <w:rPr>
          <w:rFonts w:cs="Times New Roman"/>
          <w:color w:val="000000" w:themeColor="text1"/>
          <w:szCs w:val="24"/>
          <w:lang w:val="en-GB"/>
        </w:rPr>
        <w:t>T</w:t>
      </w:r>
      <w:r w:rsidR="00002AAE" w:rsidRPr="00EA796A">
        <w:rPr>
          <w:rFonts w:cs="Times New Roman"/>
          <w:color w:val="000000" w:themeColor="text1"/>
          <w:szCs w:val="24"/>
          <w:lang w:val="en-GB"/>
        </w:rPr>
        <w:t xml:space="preserve">he </w:t>
      </w:r>
      <w:r w:rsidRPr="00EA796A">
        <w:rPr>
          <w:rFonts w:cs="Times New Roman"/>
          <w:color w:val="000000" w:themeColor="text1"/>
          <w:szCs w:val="24"/>
          <w:lang w:val="en-GB"/>
        </w:rPr>
        <w:t xml:space="preserve">CoS is competent to receive individual petitions, to examine </w:t>
      </w:r>
      <w:r w:rsidR="00002AAE" w:rsidRPr="00EA796A">
        <w:rPr>
          <w:rFonts w:cs="Times New Roman"/>
          <w:color w:val="000000" w:themeColor="text1"/>
          <w:szCs w:val="24"/>
          <w:lang w:val="en-GB"/>
        </w:rPr>
        <w:t>claims for state responsibility</w:t>
      </w:r>
      <w:r w:rsidRPr="00EA796A">
        <w:rPr>
          <w:rFonts w:cs="Times New Roman"/>
          <w:color w:val="000000" w:themeColor="text1"/>
          <w:szCs w:val="24"/>
          <w:lang w:val="en-GB"/>
        </w:rPr>
        <w:t xml:space="preserve"> and </w:t>
      </w:r>
      <w:r w:rsidR="00916F83" w:rsidRPr="00EA796A">
        <w:rPr>
          <w:rFonts w:cs="Times New Roman"/>
          <w:color w:val="000000" w:themeColor="text1"/>
          <w:szCs w:val="24"/>
          <w:lang w:val="en-GB"/>
        </w:rPr>
        <w:t>to grant additional reparations. T</w:t>
      </w:r>
      <w:r w:rsidRPr="00EA796A">
        <w:rPr>
          <w:rFonts w:cs="Times New Roman"/>
          <w:color w:val="000000" w:themeColor="text1"/>
          <w:szCs w:val="24"/>
          <w:lang w:val="en-GB"/>
        </w:rPr>
        <w:t xml:space="preserve">he State provides an </w:t>
      </w:r>
      <w:r w:rsidRPr="00EA796A">
        <w:rPr>
          <w:rFonts w:cs="Times New Roman"/>
          <w:color w:val="000000" w:themeColor="text1"/>
          <w:szCs w:val="24"/>
          <w:lang w:val="en-GB"/>
        </w:rPr>
        <w:lastRenderedPageBreak/>
        <w:t>available, effective and adequate domestic remedy</w:t>
      </w:r>
      <w:r w:rsidR="00916F83" w:rsidRPr="00EA796A">
        <w:rPr>
          <w:rFonts w:cs="Times New Roman"/>
          <w:color w:val="000000" w:themeColor="text1"/>
          <w:szCs w:val="24"/>
          <w:lang w:val="en-GB"/>
        </w:rPr>
        <w:t>, which is suitable to address the violations.</w:t>
      </w:r>
      <w:r w:rsidRPr="00EA796A">
        <w:rPr>
          <w:rStyle w:val="FootnoteReference"/>
          <w:rFonts w:cs="Times New Roman"/>
          <w:color w:val="000000" w:themeColor="text1"/>
          <w:szCs w:val="24"/>
          <w:lang w:val="en-GB"/>
        </w:rPr>
        <w:footnoteReference w:id="35"/>
      </w:r>
      <w:r w:rsidR="00916F83" w:rsidRPr="00EA796A">
        <w:rPr>
          <w:rStyle w:val="FootnoteReference"/>
          <w:rFonts w:cs="Times New Roman"/>
          <w:color w:val="000000" w:themeColor="text1"/>
          <w:szCs w:val="24"/>
          <w:lang w:val="en-GB"/>
        </w:rPr>
        <w:t xml:space="preserve"> </w:t>
      </w:r>
      <w:r w:rsidRPr="00EA796A">
        <w:rPr>
          <w:rFonts w:cs="Times New Roman"/>
          <w:color w:val="000000" w:themeColor="text1"/>
          <w:szCs w:val="24"/>
          <w:lang w:val="en-GB"/>
        </w:rPr>
        <w:t xml:space="preserve">Consequently, the State requests the Court to declare Mrs. </w:t>
      </w:r>
      <w:r w:rsidR="008740AF" w:rsidRPr="00EA796A">
        <w:rPr>
          <w:rFonts w:cs="Times New Roman"/>
          <w:color w:val="000000" w:themeColor="text1"/>
          <w:szCs w:val="24"/>
          <w:lang w:val="en-US"/>
        </w:rPr>
        <w:t xml:space="preserve">López’ </w:t>
      </w:r>
      <w:r w:rsidRPr="00EA796A">
        <w:rPr>
          <w:rFonts w:cs="Times New Roman"/>
          <w:color w:val="000000" w:themeColor="text1"/>
          <w:szCs w:val="24"/>
          <w:lang w:val="en-GB"/>
        </w:rPr>
        <w:t xml:space="preserve">claim inadmissible since she did not exhaust the domestic remedies provided. </w:t>
      </w:r>
    </w:p>
    <w:p w14:paraId="6BFE9523" w14:textId="49C563F7" w:rsidR="00740802" w:rsidRPr="00EA796A" w:rsidRDefault="00740802" w:rsidP="00EF5B4E">
      <w:pPr>
        <w:spacing w:after="0"/>
        <w:rPr>
          <w:rFonts w:cs="Times New Roman"/>
          <w:color w:val="000000" w:themeColor="text1"/>
          <w:szCs w:val="24"/>
          <w:lang w:val="en-GB"/>
        </w:rPr>
      </w:pPr>
      <w:r w:rsidRPr="00EA796A">
        <w:rPr>
          <w:rFonts w:cs="Times New Roman"/>
          <w:color w:val="000000" w:themeColor="text1"/>
          <w:szCs w:val="24"/>
          <w:lang w:val="en-GB"/>
        </w:rPr>
        <w:t>Secondly, Mrs. López and Mr. and Ms. Rossi claim state responsibility for the failure to prosecute and punish those responsible for the alleged violations. However, they had the possibility to go before the Constitutional Court</w:t>
      </w:r>
      <w:r w:rsidRPr="00EA796A">
        <w:rPr>
          <w:rStyle w:val="FootnoteReference"/>
          <w:rFonts w:cs="Times New Roman"/>
          <w:color w:val="000000" w:themeColor="text1"/>
          <w:szCs w:val="24"/>
          <w:lang w:val="en-GB"/>
        </w:rPr>
        <w:footnoteReference w:id="36"/>
      </w:r>
      <w:r w:rsidRPr="00EA796A">
        <w:rPr>
          <w:rFonts w:cs="Times New Roman"/>
          <w:color w:val="000000" w:themeColor="text1"/>
          <w:szCs w:val="24"/>
          <w:lang w:val="en-GB"/>
        </w:rPr>
        <w:t xml:space="preserve"> to allege that the judicial mechanism established in the ACRL violated their constitutional rights.</w:t>
      </w:r>
      <w:r w:rsidRPr="00EA796A">
        <w:rPr>
          <w:rStyle w:val="FootnoteReference"/>
          <w:rFonts w:cs="Times New Roman"/>
          <w:color w:val="000000" w:themeColor="text1"/>
          <w:szCs w:val="24"/>
          <w:lang w:val="en-GB"/>
        </w:rPr>
        <w:footnoteReference w:id="37"/>
      </w:r>
      <w:r w:rsidRPr="00EA796A">
        <w:rPr>
          <w:rFonts w:cs="Times New Roman"/>
          <w:color w:val="000000" w:themeColor="text1"/>
          <w:szCs w:val="24"/>
          <w:lang w:val="en-GB"/>
        </w:rPr>
        <w:t xml:space="preserve"> The Commission has stipulated before that the constitutional challenge may form an adequate remedy that should be exhausted.</w:t>
      </w:r>
      <w:r w:rsidRPr="00EA796A">
        <w:rPr>
          <w:rStyle w:val="FootnoteReference"/>
          <w:rFonts w:cs="Times New Roman"/>
          <w:color w:val="000000" w:themeColor="text1"/>
          <w:szCs w:val="24"/>
          <w:lang w:val="en-GB"/>
        </w:rPr>
        <w:footnoteReference w:id="38"/>
      </w:r>
      <w:r w:rsidRPr="00EA796A">
        <w:rPr>
          <w:rFonts w:cs="Times New Roman"/>
          <w:color w:val="000000" w:themeColor="text1"/>
          <w:szCs w:val="24"/>
          <w:lang w:val="en-GB"/>
        </w:rPr>
        <w:t xml:space="preserve"> Had the </w:t>
      </w:r>
      <w:r w:rsidR="00F22E99" w:rsidRPr="00EA796A">
        <w:rPr>
          <w:rFonts w:cs="Times New Roman"/>
          <w:color w:val="000000" w:themeColor="text1"/>
          <w:szCs w:val="24"/>
          <w:lang w:val="en-GB"/>
        </w:rPr>
        <w:t xml:space="preserve">Constitutional </w:t>
      </w:r>
      <w:r w:rsidRPr="00EA796A">
        <w:rPr>
          <w:rFonts w:cs="Times New Roman"/>
          <w:color w:val="000000" w:themeColor="text1"/>
          <w:szCs w:val="24"/>
          <w:lang w:val="en-GB"/>
        </w:rPr>
        <w:t>Court found the law unconstitutional, it could have declared that it had no further effect.</w:t>
      </w:r>
      <w:r w:rsidRPr="00EA796A">
        <w:rPr>
          <w:rStyle w:val="FootnoteReference"/>
          <w:rFonts w:cs="Times New Roman"/>
          <w:color w:val="000000" w:themeColor="text1"/>
          <w:szCs w:val="24"/>
          <w:lang w:val="en-GB"/>
        </w:rPr>
        <w:footnoteReference w:id="39"/>
      </w:r>
      <w:r w:rsidRPr="00EA796A">
        <w:rPr>
          <w:rFonts w:cs="Times New Roman"/>
          <w:color w:val="000000" w:themeColor="text1"/>
          <w:szCs w:val="24"/>
          <w:lang w:val="en-GB"/>
        </w:rPr>
        <w:t xml:space="preserve"> </w:t>
      </w:r>
    </w:p>
    <w:p w14:paraId="20AC3DC1" w14:textId="415FC6C4" w:rsidR="00740802" w:rsidRPr="00EA796A" w:rsidRDefault="00740802" w:rsidP="00EF5B4E">
      <w:pPr>
        <w:spacing w:after="0"/>
        <w:rPr>
          <w:rFonts w:cs="Times New Roman"/>
          <w:color w:val="000000" w:themeColor="text1"/>
          <w:szCs w:val="24"/>
          <w:lang w:val="en-GB"/>
        </w:rPr>
      </w:pPr>
      <w:r w:rsidRPr="00EA796A">
        <w:rPr>
          <w:rFonts w:cs="Times New Roman"/>
          <w:color w:val="000000" w:themeColor="text1"/>
          <w:szCs w:val="24"/>
          <w:lang w:val="en-GB"/>
        </w:rPr>
        <w:t xml:space="preserve">Thirdly, </w:t>
      </w:r>
      <w:r w:rsidR="00002AAE" w:rsidRPr="00EA796A">
        <w:rPr>
          <w:rFonts w:cs="Times New Roman"/>
          <w:color w:val="000000" w:themeColor="text1"/>
          <w:szCs w:val="24"/>
          <w:lang w:val="en-GB"/>
        </w:rPr>
        <w:t>concerning</w:t>
      </w:r>
      <w:r w:rsidRPr="00EA796A">
        <w:rPr>
          <w:rFonts w:cs="Times New Roman"/>
          <w:color w:val="000000" w:themeColor="text1"/>
          <w:szCs w:val="24"/>
          <w:lang w:val="en-GB"/>
        </w:rPr>
        <w:t xml:space="preserve"> the disappearance of her husband</w:t>
      </w:r>
      <w:r w:rsidR="00002AAE" w:rsidRPr="00EA796A">
        <w:rPr>
          <w:rFonts w:cs="Times New Roman"/>
          <w:color w:val="000000" w:themeColor="text1"/>
          <w:szCs w:val="24"/>
          <w:lang w:val="en-GB"/>
        </w:rPr>
        <w:t xml:space="preserve">, Mrs Bolt </w:t>
      </w:r>
      <w:r w:rsidRPr="00EA796A">
        <w:rPr>
          <w:rFonts w:cs="Times New Roman"/>
          <w:color w:val="000000" w:themeColor="text1"/>
          <w:szCs w:val="24"/>
          <w:lang w:val="en-GB"/>
        </w:rPr>
        <w:t xml:space="preserve">should have filed a writ of </w:t>
      </w:r>
      <w:r w:rsidRPr="00EA796A">
        <w:rPr>
          <w:rFonts w:cs="Times New Roman"/>
          <w:i/>
          <w:color w:val="000000" w:themeColor="text1"/>
          <w:szCs w:val="24"/>
          <w:lang w:val="en-GB"/>
        </w:rPr>
        <w:t>habeas corpus</w:t>
      </w:r>
      <w:r w:rsidRPr="00EA796A">
        <w:rPr>
          <w:rFonts w:cs="Times New Roman"/>
          <w:color w:val="000000" w:themeColor="text1"/>
          <w:szCs w:val="24"/>
          <w:lang w:val="en-GB"/>
        </w:rPr>
        <w:t xml:space="preserve"> before the domestic courts.</w:t>
      </w:r>
      <w:r w:rsidRPr="00EA796A">
        <w:rPr>
          <w:rStyle w:val="FootnoteReference"/>
          <w:rFonts w:cs="Times New Roman"/>
          <w:color w:val="000000" w:themeColor="text1"/>
          <w:szCs w:val="24"/>
          <w:lang w:val="en-GB"/>
        </w:rPr>
        <w:footnoteReference w:id="40"/>
      </w:r>
      <w:r w:rsidRPr="00EA796A">
        <w:rPr>
          <w:rFonts w:cs="Times New Roman"/>
          <w:color w:val="000000" w:themeColor="text1"/>
          <w:szCs w:val="24"/>
          <w:lang w:val="en-GB"/>
        </w:rPr>
        <w:t xml:space="preserve"> The Court has categorically stated that </w:t>
      </w:r>
      <w:r w:rsidRPr="00EA796A">
        <w:rPr>
          <w:rFonts w:cs="Times New Roman"/>
          <w:i/>
          <w:color w:val="000000" w:themeColor="text1"/>
          <w:szCs w:val="24"/>
          <w:lang w:val="en-GB"/>
        </w:rPr>
        <w:t>habeas corpus</w:t>
      </w:r>
      <w:r w:rsidRPr="00EA796A">
        <w:rPr>
          <w:rFonts w:cs="Times New Roman"/>
          <w:color w:val="000000" w:themeColor="text1"/>
          <w:szCs w:val="24"/>
          <w:lang w:val="en-GB"/>
        </w:rPr>
        <w:t xml:space="preserve"> is “</w:t>
      </w:r>
      <w:r w:rsidRPr="00EA796A">
        <w:rPr>
          <w:rFonts w:cs="Times New Roman"/>
          <w:i/>
          <w:color w:val="000000" w:themeColor="text1"/>
          <w:szCs w:val="24"/>
          <w:lang w:val="en-GB"/>
        </w:rPr>
        <w:t>the normal means of finding a person presuma</w:t>
      </w:r>
      <w:r w:rsidR="00002AAE" w:rsidRPr="00EA796A">
        <w:rPr>
          <w:rFonts w:cs="Times New Roman"/>
          <w:i/>
          <w:color w:val="000000" w:themeColor="text1"/>
          <w:szCs w:val="24"/>
          <w:lang w:val="en-GB"/>
        </w:rPr>
        <w:t>bly detained by the authorities</w:t>
      </w:r>
      <w:r w:rsidRPr="00EA796A">
        <w:rPr>
          <w:rFonts w:cs="Times New Roman"/>
          <w:i/>
          <w:color w:val="000000" w:themeColor="text1"/>
          <w:szCs w:val="24"/>
          <w:lang w:val="en-GB"/>
        </w:rPr>
        <w:t>”</w:t>
      </w:r>
      <w:r w:rsidR="00002AAE" w:rsidRPr="00EA796A">
        <w:rPr>
          <w:rFonts w:cs="Times New Roman"/>
          <w:i/>
          <w:color w:val="000000" w:themeColor="text1"/>
          <w:szCs w:val="24"/>
          <w:lang w:val="en-GB"/>
        </w:rPr>
        <w:t>.</w:t>
      </w:r>
      <w:r w:rsidRPr="00EA796A">
        <w:rPr>
          <w:rStyle w:val="FootnoteReference"/>
          <w:rFonts w:cs="Times New Roman"/>
          <w:color w:val="000000" w:themeColor="text1"/>
          <w:szCs w:val="24"/>
          <w:lang w:val="en-GB"/>
        </w:rPr>
        <w:footnoteReference w:id="41"/>
      </w:r>
      <w:r w:rsidRPr="00EA796A">
        <w:rPr>
          <w:rFonts w:cs="Times New Roman"/>
          <w:color w:val="000000" w:themeColor="text1"/>
          <w:szCs w:val="24"/>
          <w:lang w:val="en-GB"/>
        </w:rPr>
        <w:t xml:space="preserve"> It represents the suitable remedy to guarantee liberty, control the respect for life and integrity of a person, and impede the disappearance or the determination of the place of detention.</w:t>
      </w:r>
      <w:r w:rsidRPr="00EA796A">
        <w:rPr>
          <w:rStyle w:val="FootnoteReference"/>
          <w:rFonts w:cs="Times New Roman"/>
          <w:color w:val="000000" w:themeColor="text1"/>
          <w:szCs w:val="24"/>
          <w:lang w:val="en-GB"/>
        </w:rPr>
        <w:footnoteReference w:id="42"/>
      </w:r>
      <w:r w:rsidRPr="00EA796A">
        <w:rPr>
          <w:rFonts w:cs="Times New Roman"/>
          <w:color w:val="000000" w:themeColor="text1"/>
          <w:szCs w:val="24"/>
          <w:lang w:val="en-GB"/>
        </w:rPr>
        <w:t xml:space="preserve"> </w:t>
      </w:r>
    </w:p>
    <w:p w14:paraId="0AC9C718" w14:textId="0A84DAD7" w:rsidR="00740802" w:rsidRPr="00EA796A" w:rsidRDefault="00740802" w:rsidP="00EF5B4E">
      <w:pPr>
        <w:spacing w:after="0"/>
        <w:rPr>
          <w:rFonts w:cs="Times New Roman"/>
          <w:strike/>
          <w:color w:val="000000" w:themeColor="text1"/>
          <w:szCs w:val="24"/>
          <w:lang w:val="en-GB"/>
        </w:rPr>
      </w:pPr>
      <w:r w:rsidRPr="00EA796A">
        <w:rPr>
          <w:rFonts w:cs="Times New Roman"/>
          <w:color w:val="000000" w:themeColor="text1"/>
          <w:szCs w:val="24"/>
          <w:lang w:val="en-GB"/>
        </w:rPr>
        <w:t xml:space="preserve">The petitioners cannot invoke the exceptions </w:t>
      </w:r>
      <w:r w:rsidR="00587F0E" w:rsidRPr="00EA796A">
        <w:rPr>
          <w:rFonts w:cs="Times New Roman"/>
          <w:color w:val="000000" w:themeColor="text1"/>
          <w:szCs w:val="24"/>
          <w:lang w:val="en-GB"/>
        </w:rPr>
        <w:t>to the</w:t>
      </w:r>
      <w:r w:rsidRPr="00EA796A">
        <w:rPr>
          <w:rFonts w:cs="Times New Roman"/>
          <w:color w:val="000000" w:themeColor="text1"/>
          <w:szCs w:val="24"/>
          <w:lang w:val="en-GB"/>
        </w:rPr>
        <w:t xml:space="preserve"> exhaustion of domestic remedies set forth in Art. 46(2) ACHR since the State has provided accessible domestic remedies, in accordance with the principles of due process of law.</w:t>
      </w:r>
      <w:r w:rsidR="00F7062B" w:rsidRPr="00EA796A">
        <w:rPr>
          <w:rFonts w:cs="Times New Roman"/>
          <w:color w:val="000000" w:themeColor="text1"/>
          <w:szCs w:val="24"/>
          <w:lang w:val="en-GB"/>
        </w:rPr>
        <w:t xml:space="preserve"> </w:t>
      </w:r>
      <w:r w:rsidR="00916F83" w:rsidRPr="00EA796A">
        <w:rPr>
          <w:rFonts w:cs="Times New Roman"/>
          <w:color w:val="000000" w:themeColor="text1"/>
          <w:szCs w:val="24"/>
          <w:lang w:val="en-GB"/>
        </w:rPr>
        <w:t xml:space="preserve"> </w:t>
      </w:r>
    </w:p>
    <w:p w14:paraId="48905797" w14:textId="107E1DF0" w:rsidR="00BE3A14" w:rsidRPr="00EA796A" w:rsidRDefault="00BE3A14" w:rsidP="00EF5B4E">
      <w:pPr>
        <w:pStyle w:val="Heading3"/>
        <w:numPr>
          <w:ilvl w:val="0"/>
          <w:numId w:val="5"/>
        </w:numPr>
        <w:rPr>
          <w:color w:val="000000" w:themeColor="text1"/>
        </w:rPr>
      </w:pPr>
      <w:bookmarkStart w:id="21" w:name="_Toc414312609"/>
      <w:bookmarkStart w:id="22" w:name="_Toc288551018"/>
      <w:bookmarkStart w:id="23" w:name="_Toc288727698"/>
      <w:bookmarkStart w:id="24" w:name="_Toc288789550"/>
      <w:r w:rsidRPr="00EA796A">
        <w:rPr>
          <w:color w:val="000000" w:themeColor="text1"/>
        </w:rPr>
        <w:lastRenderedPageBreak/>
        <w:t>Mrs. Bolt di</w:t>
      </w:r>
      <w:bookmarkEnd w:id="21"/>
      <w:r w:rsidRPr="00EA796A">
        <w:rPr>
          <w:color w:val="000000" w:themeColor="text1"/>
        </w:rPr>
        <w:t xml:space="preserve">d not </w:t>
      </w:r>
      <w:r w:rsidR="00943D17" w:rsidRPr="00EA796A">
        <w:rPr>
          <w:color w:val="000000" w:themeColor="text1"/>
        </w:rPr>
        <w:t xml:space="preserve">properly </w:t>
      </w:r>
      <w:r w:rsidRPr="00EA796A">
        <w:rPr>
          <w:color w:val="000000" w:themeColor="text1"/>
        </w:rPr>
        <w:t>exhaust the domestic remedies in accordance with the generally recognized principles of international law</w:t>
      </w:r>
      <w:bookmarkEnd w:id="22"/>
      <w:bookmarkEnd w:id="23"/>
      <w:r w:rsidR="009E6AB7" w:rsidRPr="00EA796A">
        <w:rPr>
          <w:color w:val="000000" w:themeColor="text1"/>
        </w:rPr>
        <w:t xml:space="preserve"> (Art. 46(1)(a) and 47 ACHR)</w:t>
      </w:r>
      <w:bookmarkEnd w:id="24"/>
    </w:p>
    <w:p w14:paraId="13A66EDD" w14:textId="3CC7A1EE" w:rsidR="00740802" w:rsidRPr="00EA796A" w:rsidRDefault="00596824" w:rsidP="00EF5B4E">
      <w:pPr>
        <w:spacing w:after="0"/>
        <w:rPr>
          <w:rFonts w:cs="Times New Roman"/>
          <w:color w:val="000000" w:themeColor="text1"/>
          <w:szCs w:val="24"/>
          <w:lang w:val="en-GB"/>
        </w:rPr>
      </w:pPr>
      <w:r w:rsidRPr="00EA796A">
        <w:rPr>
          <w:rFonts w:cs="Times New Roman"/>
          <w:color w:val="000000" w:themeColor="text1"/>
          <w:szCs w:val="24"/>
          <w:lang w:val="en-GB"/>
        </w:rPr>
        <w:t xml:space="preserve"> </w:t>
      </w:r>
      <w:r w:rsidR="00740802" w:rsidRPr="00EA796A">
        <w:rPr>
          <w:rFonts w:cs="Times New Roman"/>
          <w:color w:val="000000" w:themeColor="text1"/>
          <w:szCs w:val="24"/>
          <w:lang w:val="en-GB"/>
        </w:rPr>
        <w:t xml:space="preserve">Mrs. Bolt filed a petition before the Commission in December 2002, which was admitted in January 2008. She exhausted </w:t>
      </w:r>
      <w:r w:rsidR="00587F0E" w:rsidRPr="00EA796A">
        <w:rPr>
          <w:rFonts w:cs="Times New Roman"/>
          <w:color w:val="000000" w:themeColor="text1"/>
          <w:szCs w:val="24"/>
          <w:lang w:val="en-GB"/>
        </w:rPr>
        <w:t>the following</w:t>
      </w:r>
      <w:r w:rsidR="00740802" w:rsidRPr="00EA796A">
        <w:rPr>
          <w:rFonts w:cs="Times New Roman"/>
          <w:color w:val="000000" w:themeColor="text1"/>
          <w:szCs w:val="24"/>
          <w:lang w:val="en-GB"/>
        </w:rPr>
        <w:t xml:space="preserve"> domestic remedies only </w:t>
      </w:r>
      <w:r w:rsidR="00740802" w:rsidRPr="00EA796A">
        <w:rPr>
          <w:rFonts w:cs="Times New Roman"/>
          <w:i/>
          <w:iCs/>
          <w:color w:val="000000" w:themeColor="text1"/>
          <w:szCs w:val="24"/>
          <w:lang w:val="en-GB"/>
        </w:rPr>
        <w:t>after</w:t>
      </w:r>
      <w:r w:rsidR="00740802" w:rsidRPr="00EA796A">
        <w:rPr>
          <w:rFonts w:cs="Times New Roman"/>
          <w:color w:val="000000" w:themeColor="text1"/>
          <w:szCs w:val="24"/>
          <w:lang w:val="en-GB"/>
        </w:rPr>
        <w:t xml:space="preserve"> submitting the petition</w:t>
      </w:r>
      <w:r w:rsidR="00740802" w:rsidRPr="00EA796A">
        <w:rPr>
          <w:rStyle w:val="FootnoteReference"/>
          <w:rFonts w:cs="Times New Roman"/>
          <w:color w:val="000000" w:themeColor="text1"/>
          <w:szCs w:val="24"/>
          <w:lang w:val="en-GB"/>
        </w:rPr>
        <w:footnoteReference w:id="43"/>
      </w:r>
      <w:r w:rsidR="00740802" w:rsidRPr="00EA796A">
        <w:rPr>
          <w:rFonts w:cs="Times New Roman"/>
          <w:color w:val="000000" w:themeColor="text1"/>
          <w:szCs w:val="24"/>
          <w:lang w:val="en-GB"/>
        </w:rPr>
        <w:t>: in 2004, she filed suit against the State to request the judicial review of the administrative decision before the CoS. In 2007, the CoS found no state responsibility and denied her request.</w:t>
      </w:r>
      <w:r w:rsidR="00740802" w:rsidRPr="00EA796A">
        <w:rPr>
          <w:rStyle w:val="FootnoteReference"/>
          <w:rFonts w:cs="Times New Roman"/>
          <w:color w:val="000000" w:themeColor="text1"/>
          <w:szCs w:val="24"/>
          <w:lang w:val="en-GB"/>
        </w:rPr>
        <w:footnoteReference w:id="44"/>
      </w:r>
      <w:r w:rsidR="00740802" w:rsidRPr="00EA796A">
        <w:rPr>
          <w:rFonts w:cs="Times New Roman"/>
          <w:color w:val="000000" w:themeColor="text1"/>
          <w:szCs w:val="24"/>
          <w:lang w:val="en-GB"/>
        </w:rPr>
        <w:t xml:space="preserve"> Mrs. Bolt filed a motion for the reconsideration of the judgment in 2008, which the CoS accepted in 2010. It granted an additional compensation of 10,000$</w:t>
      </w:r>
      <w:r w:rsidR="00F22E99" w:rsidRPr="00EA796A">
        <w:rPr>
          <w:rFonts w:cs="Times New Roman"/>
          <w:color w:val="000000" w:themeColor="text1"/>
          <w:szCs w:val="24"/>
          <w:lang w:val="en-GB"/>
        </w:rPr>
        <w:t>,</w:t>
      </w:r>
      <w:r w:rsidR="00740802" w:rsidRPr="00EA796A">
        <w:rPr>
          <w:rFonts w:cs="Times New Roman"/>
          <w:color w:val="000000" w:themeColor="text1"/>
          <w:szCs w:val="24"/>
          <w:lang w:val="en-GB"/>
        </w:rPr>
        <w:t xml:space="preserve"> on top of what she had received in the administrative proceedings.</w:t>
      </w:r>
      <w:r w:rsidR="00740802" w:rsidRPr="00EA796A">
        <w:rPr>
          <w:rStyle w:val="FootnoteReference"/>
          <w:rFonts w:cs="Times New Roman"/>
          <w:color w:val="000000" w:themeColor="text1"/>
          <w:szCs w:val="24"/>
          <w:lang w:val="en-GB"/>
        </w:rPr>
        <w:footnoteReference w:id="45"/>
      </w:r>
      <w:r w:rsidR="00740802" w:rsidRPr="00EA796A">
        <w:rPr>
          <w:rFonts w:cs="Times New Roman"/>
          <w:color w:val="000000" w:themeColor="text1"/>
          <w:szCs w:val="24"/>
          <w:lang w:val="en-GB"/>
        </w:rPr>
        <w:t xml:space="preserve"> On 20 February 2009, Mrs. Bolt filed an appeal before the STT to review the waiver of prosecution of the alleged perpetrators, which was accepted regarding former President Ferreira.</w:t>
      </w:r>
      <w:r w:rsidR="00740802" w:rsidRPr="00EA796A">
        <w:rPr>
          <w:rStyle w:val="FootnoteReference"/>
          <w:rFonts w:cs="Times New Roman"/>
          <w:color w:val="000000" w:themeColor="text1"/>
          <w:szCs w:val="24"/>
          <w:lang w:val="en-GB"/>
        </w:rPr>
        <w:footnoteReference w:id="46"/>
      </w:r>
      <w:r w:rsidR="00740802" w:rsidRPr="00EA796A">
        <w:rPr>
          <w:rFonts w:cs="Times New Roman"/>
          <w:color w:val="000000" w:themeColor="text1"/>
          <w:szCs w:val="24"/>
          <w:lang w:val="en-GB"/>
        </w:rPr>
        <w:t xml:space="preserve"> However, in December 2002, already </w:t>
      </w:r>
      <w:r w:rsidR="00740802" w:rsidRPr="00EA796A">
        <w:rPr>
          <w:rFonts w:cs="Times New Roman"/>
          <w:i/>
          <w:iCs/>
          <w:color w:val="000000" w:themeColor="text1"/>
          <w:szCs w:val="24"/>
          <w:lang w:val="en-GB"/>
        </w:rPr>
        <w:t xml:space="preserve">before </w:t>
      </w:r>
      <w:r w:rsidR="00740802" w:rsidRPr="00EA796A">
        <w:rPr>
          <w:rFonts w:cs="Times New Roman"/>
          <w:color w:val="000000" w:themeColor="text1"/>
          <w:szCs w:val="24"/>
          <w:lang w:val="en-GB"/>
        </w:rPr>
        <w:t>Mrs. Bolt exhausted all these remedies, she filed a petition before the Commission. This proves that Mrs. Bolt preferred direct recourse to the Commission, disregarding its subsidiary nature.</w:t>
      </w:r>
      <w:r w:rsidR="00740802" w:rsidRPr="00EA796A">
        <w:rPr>
          <w:rStyle w:val="FootnoteReference"/>
          <w:rFonts w:cs="Times New Roman"/>
          <w:color w:val="000000" w:themeColor="text1"/>
          <w:szCs w:val="24"/>
          <w:lang w:val="en-GB"/>
        </w:rPr>
        <w:footnoteReference w:id="47"/>
      </w:r>
      <w:r w:rsidR="00740802" w:rsidRPr="00EA796A">
        <w:rPr>
          <w:rFonts w:cs="Times New Roman"/>
          <w:color w:val="000000" w:themeColor="text1"/>
          <w:szCs w:val="24"/>
          <w:lang w:val="en-GB"/>
        </w:rPr>
        <w:t xml:space="preserve"> In conclusion, she did not comply with her duty to exhaust domestic remedies in accordance with generally recognized principles of international law, as laid down in Art. 46(1)(a) ACHR. </w:t>
      </w:r>
      <w:r w:rsidR="00587F0E" w:rsidRPr="00EA796A">
        <w:rPr>
          <w:rFonts w:cs="Times New Roman"/>
          <w:color w:val="000000" w:themeColor="text1"/>
          <w:szCs w:val="24"/>
          <w:lang w:val="en-GB"/>
        </w:rPr>
        <w:t>Therefore,</w:t>
      </w:r>
      <w:r w:rsidR="00740802" w:rsidRPr="00EA796A">
        <w:rPr>
          <w:rFonts w:cs="Times New Roman"/>
          <w:color w:val="000000" w:themeColor="text1"/>
          <w:szCs w:val="24"/>
          <w:lang w:val="en-GB"/>
        </w:rPr>
        <w:t xml:space="preserve"> the State requests the Court to declare the petition inadmissible. </w:t>
      </w:r>
    </w:p>
    <w:p w14:paraId="75F0A605" w14:textId="54CDB018" w:rsidR="00BE3A14" w:rsidRPr="00EA796A" w:rsidRDefault="00BE3A14" w:rsidP="00EF5B4E">
      <w:pPr>
        <w:pStyle w:val="Heading3"/>
        <w:numPr>
          <w:ilvl w:val="0"/>
          <w:numId w:val="5"/>
        </w:numPr>
        <w:rPr>
          <w:color w:val="000000" w:themeColor="text1"/>
        </w:rPr>
      </w:pPr>
      <w:bookmarkStart w:id="25" w:name="_Toc414047141"/>
      <w:bookmarkStart w:id="26" w:name="_Toc288551019"/>
      <w:bookmarkStart w:id="27" w:name="_Toc288727699"/>
      <w:bookmarkStart w:id="28" w:name="_Toc288789551"/>
      <w:r w:rsidRPr="00EA796A">
        <w:rPr>
          <w:color w:val="000000" w:themeColor="text1"/>
        </w:rPr>
        <w:lastRenderedPageBreak/>
        <w:t>The Commission violated the State’s right to defense</w:t>
      </w:r>
      <w:bookmarkEnd w:id="25"/>
      <w:bookmarkEnd w:id="26"/>
      <w:bookmarkEnd w:id="27"/>
      <w:r w:rsidR="009E6AB7" w:rsidRPr="00EA796A">
        <w:rPr>
          <w:color w:val="000000" w:themeColor="text1"/>
        </w:rPr>
        <w:t xml:space="preserve"> (Art. 31(1) Rules of Procedure of the Commission)</w:t>
      </w:r>
      <w:bookmarkEnd w:id="28"/>
    </w:p>
    <w:p w14:paraId="5A3513E1" w14:textId="5A89AA99" w:rsidR="00740802" w:rsidRPr="00EA796A" w:rsidRDefault="00740802" w:rsidP="00EF5B4E">
      <w:pPr>
        <w:spacing w:after="0"/>
        <w:rPr>
          <w:rFonts w:cs="Times New Roman"/>
          <w:color w:val="000000" w:themeColor="text1"/>
          <w:szCs w:val="24"/>
          <w:lang w:val="en-US"/>
        </w:rPr>
      </w:pPr>
      <w:r w:rsidRPr="00EA796A">
        <w:rPr>
          <w:rFonts w:cs="Times New Roman"/>
          <w:color w:val="000000" w:themeColor="text1"/>
          <w:szCs w:val="24"/>
          <w:lang w:val="en-GB"/>
        </w:rPr>
        <w:t xml:space="preserve">In </w:t>
      </w:r>
      <w:r w:rsidRPr="00EA796A">
        <w:rPr>
          <w:rFonts w:cs="Times New Roman"/>
          <w:i/>
          <w:iCs/>
          <w:color w:val="000000" w:themeColor="text1"/>
          <w:szCs w:val="24"/>
          <w:lang w:val="en-GB"/>
        </w:rPr>
        <w:t xml:space="preserve">Mémoli </w:t>
      </w:r>
      <w:r w:rsidRPr="00EA796A">
        <w:rPr>
          <w:rFonts w:cs="Times New Roman"/>
          <w:color w:val="000000" w:themeColor="text1"/>
          <w:szCs w:val="24"/>
          <w:lang w:val="en-GB"/>
        </w:rPr>
        <w:t>the Court has indicated the procedural guarantees to ensure that parties can exercise their right to defense during the proceedings.</w:t>
      </w:r>
      <w:r w:rsidRPr="00EA796A">
        <w:rPr>
          <w:rStyle w:val="FootnoteReference"/>
          <w:rFonts w:cs="Times New Roman"/>
          <w:color w:val="000000" w:themeColor="text1"/>
          <w:szCs w:val="24"/>
          <w:lang w:val="en-GB"/>
        </w:rPr>
        <w:footnoteReference w:id="48"/>
      </w:r>
      <w:r w:rsidRPr="00EA796A">
        <w:rPr>
          <w:rFonts w:cs="Times New Roman"/>
          <w:color w:val="000000" w:themeColor="text1"/>
          <w:szCs w:val="24"/>
          <w:lang w:val="en-GB"/>
        </w:rPr>
        <w:t xml:space="preserve"> More specifically, the right to defense is guaranteed by the principles of advers</w:t>
      </w:r>
      <w:r w:rsidR="00587F0E" w:rsidRPr="00EA796A">
        <w:rPr>
          <w:rFonts w:cs="Times New Roman"/>
          <w:color w:val="000000" w:themeColor="text1"/>
          <w:szCs w:val="24"/>
          <w:lang w:val="en-GB"/>
        </w:rPr>
        <w:t>ar</w:t>
      </w:r>
      <w:r w:rsidRPr="00EA796A">
        <w:rPr>
          <w:rFonts w:cs="Times New Roman"/>
          <w:color w:val="000000" w:themeColor="text1"/>
          <w:szCs w:val="24"/>
          <w:lang w:val="en-GB"/>
        </w:rPr>
        <w:t>iality, procedural balance and legal certainty.</w:t>
      </w:r>
      <w:r w:rsidRPr="00EA796A">
        <w:rPr>
          <w:rStyle w:val="FootnoteReference"/>
          <w:rFonts w:cs="Times New Roman"/>
          <w:color w:val="000000" w:themeColor="text1"/>
          <w:szCs w:val="24"/>
          <w:lang w:val="en-GB"/>
        </w:rPr>
        <w:footnoteReference w:id="49"/>
      </w:r>
      <w:r w:rsidRPr="00EA796A">
        <w:rPr>
          <w:rFonts w:cs="Times New Roman"/>
          <w:color w:val="000000" w:themeColor="text1"/>
          <w:szCs w:val="24"/>
          <w:lang w:val="en-US"/>
        </w:rPr>
        <w:t xml:space="preserve"> </w:t>
      </w:r>
      <w:r w:rsidR="002452EA" w:rsidRPr="00EA796A">
        <w:rPr>
          <w:rFonts w:cs="Times New Roman"/>
          <w:color w:val="000000" w:themeColor="text1"/>
          <w:szCs w:val="24"/>
          <w:lang w:val="en-GB"/>
        </w:rPr>
        <w:t>I</w:t>
      </w:r>
      <w:r w:rsidRPr="00EA796A">
        <w:rPr>
          <w:rFonts w:cs="Times New Roman"/>
          <w:color w:val="000000" w:themeColor="text1"/>
          <w:szCs w:val="24"/>
          <w:lang w:val="en-GB"/>
        </w:rPr>
        <w:t>n the case of Mrs. Bolt, the initial stage before the Commission lasted from 2002 to 2008, a period in which she asserted different legal claims in view of the development of the domestic proceedings.</w:t>
      </w:r>
      <w:r w:rsidRPr="00EA796A">
        <w:rPr>
          <w:rStyle w:val="FootnoteReference"/>
          <w:rFonts w:cs="Times New Roman"/>
          <w:color w:val="000000" w:themeColor="text1"/>
          <w:szCs w:val="24"/>
          <w:lang w:val="en-GB"/>
        </w:rPr>
        <w:footnoteReference w:id="50"/>
      </w:r>
      <w:r w:rsidRPr="00EA796A">
        <w:rPr>
          <w:rFonts w:cs="Times New Roman"/>
          <w:color w:val="000000" w:themeColor="text1"/>
          <w:szCs w:val="24"/>
          <w:lang w:val="en-GB"/>
        </w:rPr>
        <w:t xml:space="preserve"> Mrs. Bolt exhausted the domestic remedies over a period that began more than 2 years after the initial petition was lodged and culminated 8 years after this. The Commission should have denied the petition right away, instead of prolonging the initial stage in a dilatory way.</w:t>
      </w:r>
      <w:r w:rsidRPr="00EA796A">
        <w:rPr>
          <w:rStyle w:val="FootnoteReference"/>
          <w:rFonts w:cs="Times New Roman"/>
          <w:color w:val="000000" w:themeColor="text1"/>
          <w:szCs w:val="24"/>
          <w:lang w:val="en-GB"/>
        </w:rPr>
        <w:footnoteReference w:id="51"/>
      </w:r>
      <w:r w:rsidRPr="00EA796A">
        <w:rPr>
          <w:rFonts w:cs="Times New Roman"/>
          <w:color w:val="000000" w:themeColor="text1"/>
          <w:szCs w:val="24"/>
          <w:lang w:val="en-GB"/>
        </w:rPr>
        <w:t xml:space="preserve"> The Court has stated that in these circumstances, it cannot be understood that the requirement of prior exhaustion of domestic remedies has been satisfied.</w:t>
      </w:r>
      <w:r w:rsidRPr="00EA796A">
        <w:rPr>
          <w:rStyle w:val="FootnoteReference"/>
          <w:rFonts w:cs="Times New Roman"/>
          <w:color w:val="000000" w:themeColor="text1"/>
          <w:szCs w:val="24"/>
          <w:lang w:val="en-GB"/>
        </w:rPr>
        <w:t xml:space="preserve"> </w:t>
      </w:r>
      <w:r w:rsidRPr="00EA796A">
        <w:rPr>
          <w:rStyle w:val="FootnoteReference"/>
          <w:rFonts w:cs="Times New Roman"/>
          <w:color w:val="000000" w:themeColor="text1"/>
          <w:szCs w:val="24"/>
          <w:lang w:val="en-GB"/>
        </w:rPr>
        <w:footnoteReference w:id="52"/>
      </w:r>
      <w:r w:rsidRPr="00EA796A">
        <w:rPr>
          <w:rFonts w:cs="Times New Roman"/>
          <w:color w:val="000000" w:themeColor="text1"/>
          <w:szCs w:val="24"/>
          <w:lang w:val="en-GB"/>
        </w:rPr>
        <w:t xml:space="preserve"> Since the exhaustion of domestic remedies is a defense available to the State</w:t>
      </w:r>
      <w:r w:rsidRPr="00EA796A">
        <w:rPr>
          <w:rStyle w:val="FootnoteReference"/>
          <w:rFonts w:cs="Times New Roman"/>
          <w:color w:val="000000" w:themeColor="text1"/>
          <w:szCs w:val="24"/>
          <w:lang w:val="en-GB"/>
        </w:rPr>
        <w:footnoteReference w:id="53"/>
      </w:r>
      <w:r w:rsidRPr="00EA796A">
        <w:rPr>
          <w:rFonts w:cs="Times New Roman"/>
          <w:color w:val="000000" w:themeColor="text1"/>
          <w:szCs w:val="24"/>
          <w:lang w:val="en-GB"/>
        </w:rPr>
        <w:t>, the omission of the Commission to take it into account, results in a violation of the State’s right to defense.</w:t>
      </w:r>
      <w:r w:rsidRPr="00EA796A">
        <w:rPr>
          <w:rStyle w:val="FootnoteReference"/>
          <w:rFonts w:cs="Times New Roman"/>
          <w:color w:val="000000" w:themeColor="text1"/>
          <w:szCs w:val="24"/>
          <w:lang w:val="en-GB"/>
        </w:rPr>
        <w:footnoteReference w:id="54"/>
      </w:r>
      <w:r w:rsidRPr="00EA796A">
        <w:rPr>
          <w:rStyle w:val="FootnoteReference"/>
          <w:rFonts w:cs="Times New Roman"/>
          <w:color w:val="000000" w:themeColor="text1"/>
          <w:szCs w:val="24"/>
          <w:lang w:val="en-GB"/>
        </w:rPr>
        <w:t xml:space="preserve"> </w:t>
      </w:r>
      <w:r w:rsidRPr="00EA796A">
        <w:rPr>
          <w:rFonts w:cs="Times New Roman"/>
          <w:color w:val="000000" w:themeColor="text1"/>
          <w:szCs w:val="24"/>
          <w:lang w:val="en-GB"/>
        </w:rPr>
        <w:t xml:space="preserve"> The position of the State would have been different in the pending procedure if the Commission </w:t>
      </w:r>
      <w:r w:rsidR="002452EA" w:rsidRPr="00EA796A">
        <w:rPr>
          <w:rFonts w:cs="Times New Roman"/>
          <w:color w:val="000000" w:themeColor="text1"/>
          <w:szCs w:val="24"/>
          <w:lang w:val="en-GB"/>
        </w:rPr>
        <w:t>had</w:t>
      </w:r>
      <w:r w:rsidRPr="00EA796A">
        <w:rPr>
          <w:rFonts w:cs="Times New Roman"/>
          <w:color w:val="000000" w:themeColor="text1"/>
          <w:szCs w:val="24"/>
          <w:lang w:val="en-GB"/>
        </w:rPr>
        <w:t xml:space="preserve"> denied </w:t>
      </w:r>
      <w:r w:rsidR="00F22E99" w:rsidRPr="00EA796A">
        <w:rPr>
          <w:rFonts w:cs="Times New Roman"/>
          <w:color w:val="000000" w:themeColor="text1"/>
          <w:szCs w:val="24"/>
          <w:lang w:val="en-GB"/>
        </w:rPr>
        <w:t>Mrs. Bolt’s</w:t>
      </w:r>
      <w:r w:rsidRPr="00EA796A">
        <w:rPr>
          <w:rFonts w:cs="Times New Roman"/>
          <w:color w:val="000000" w:themeColor="text1"/>
          <w:szCs w:val="24"/>
          <w:lang w:val="en-GB"/>
        </w:rPr>
        <w:t xml:space="preserve"> petition right away.</w:t>
      </w:r>
      <w:r w:rsidRPr="00EA796A">
        <w:rPr>
          <w:rStyle w:val="FootnoteReference"/>
          <w:rFonts w:cs="Times New Roman"/>
          <w:color w:val="000000" w:themeColor="text1"/>
          <w:szCs w:val="24"/>
          <w:lang w:val="en-GB"/>
        </w:rPr>
        <w:footnoteReference w:id="55"/>
      </w:r>
      <w:r w:rsidRPr="00EA796A">
        <w:rPr>
          <w:rFonts w:cs="Times New Roman"/>
          <w:color w:val="000000" w:themeColor="text1"/>
          <w:szCs w:val="24"/>
          <w:lang w:val="en-GB"/>
        </w:rPr>
        <w:t xml:space="preserve"> The enduring change of </w:t>
      </w:r>
      <w:r w:rsidR="00F22E99" w:rsidRPr="00EA796A">
        <w:rPr>
          <w:rFonts w:cs="Times New Roman"/>
          <w:color w:val="000000" w:themeColor="text1"/>
          <w:szCs w:val="24"/>
          <w:lang w:val="en-GB"/>
        </w:rPr>
        <w:t>her</w:t>
      </w:r>
      <w:r w:rsidRPr="00EA796A">
        <w:rPr>
          <w:rFonts w:cs="Times New Roman"/>
          <w:color w:val="000000" w:themeColor="text1"/>
          <w:szCs w:val="24"/>
          <w:lang w:val="en-GB"/>
        </w:rPr>
        <w:t xml:space="preserve"> approach during this period created strong procedural unpredictability.</w:t>
      </w:r>
      <w:r w:rsidR="002452EA" w:rsidRPr="00EA796A">
        <w:rPr>
          <w:rFonts w:cs="Times New Roman"/>
          <w:color w:val="000000" w:themeColor="text1"/>
          <w:szCs w:val="24"/>
          <w:lang w:val="en-GB"/>
        </w:rPr>
        <w:t xml:space="preserve"> This constituted a substantial hindrance </w:t>
      </w:r>
      <w:r w:rsidRPr="00EA796A">
        <w:rPr>
          <w:rFonts w:cs="Times New Roman"/>
          <w:color w:val="000000" w:themeColor="text1"/>
          <w:szCs w:val="24"/>
          <w:lang w:val="en-GB"/>
        </w:rPr>
        <w:t xml:space="preserve">in investigating the </w:t>
      </w:r>
      <w:r w:rsidRPr="00EA796A">
        <w:rPr>
          <w:rFonts w:cs="Times New Roman"/>
          <w:color w:val="000000" w:themeColor="text1"/>
          <w:szCs w:val="24"/>
          <w:lang w:val="en-GB"/>
        </w:rPr>
        <w:lastRenderedPageBreak/>
        <w:t>shifting complaints laid down in the petition. On this basis, the State requests the Court to declare its disapproval of the Commission’s conduct, insofar as it should not admit any case where it is evident that the petitioners have not exhausted the domestic remedies.</w:t>
      </w:r>
      <w:r w:rsidR="002452EA" w:rsidRPr="00EA796A">
        <w:rPr>
          <w:rFonts w:cs="Times New Roman"/>
          <w:color w:val="000000" w:themeColor="text1"/>
          <w:szCs w:val="24"/>
          <w:lang w:val="en-GB"/>
        </w:rPr>
        <w:t xml:space="preserve"> S</w:t>
      </w:r>
      <w:r w:rsidRPr="00EA796A">
        <w:rPr>
          <w:rFonts w:cs="Times New Roman"/>
          <w:color w:val="000000" w:themeColor="text1"/>
          <w:szCs w:val="24"/>
          <w:lang w:val="en-GB"/>
        </w:rPr>
        <w:t>ince the ACRL was only enacted in January 2008</w:t>
      </w:r>
      <w:r w:rsidRPr="00EA796A">
        <w:rPr>
          <w:rStyle w:val="FootnoteReference"/>
          <w:rFonts w:cs="Times New Roman"/>
          <w:color w:val="000000" w:themeColor="text1"/>
          <w:szCs w:val="24"/>
          <w:lang w:val="en-GB"/>
        </w:rPr>
        <w:footnoteReference w:id="56"/>
      </w:r>
      <w:r w:rsidRPr="00EA796A">
        <w:rPr>
          <w:rFonts w:cs="Times New Roman"/>
          <w:color w:val="000000" w:themeColor="text1"/>
          <w:szCs w:val="24"/>
          <w:lang w:val="en-GB"/>
        </w:rPr>
        <w:t xml:space="preserve"> and the petition was admitted in the same month</w:t>
      </w:r>
      <w:r w:rsidRPr="00EA796A">
        <w:rPr>
          <w:rStyle w:val="FootnoteReference"/>
          <w:rFonts w:cs="Times New Roman"/>
          <w:color w:val="000000" w:themeColor="text1"/>
          <w:szCs w:val="24"/>
          <w:lang w:val="en-GB"/>
        </w:rPr>
        <w:footnoteReference w:id="57"/>
      </w:r>
      <w:r w:rsidRPr="00EA796A">
        <w:rPr>
          <w:rFonts w:cs="Times New Roman"/>
          <w:color w:val="000000" w:themeColor="text1"/>
          <w:szCs w:val="24"/>
          <w:lang w:val="en-GB"/>
        </w:rPr>
        <w:t xml:space="preserve">, the Commission did not leave the State enough time to modify its defense strategy. Taking into account the magnitude of the State’s task in setting up the transitional justice mechanism, the State’s defense position during the admissibility stage was definitely affected. Especially since the mechanism of transitional justice is very complex, the State needed more time to consider all elements of Mrs. Bolt’s claim in the light of </w:t>
      </w:r>
      <w:r w:rsidR="001A20CD" w:rsidRPr="00EA796A">
        <w:rPr>
          <w:rFonts w:cs="Times New Roman"/>
          <w:color w:val="000000" w:themeColor="text1"/>
          <w:szCs w:val="24"/>
          <w:lang w:val="en-GB"/>
        </w:rPr>
        <w:t>this</w:t>
      </w:r>
      <w:r w:rsidRPr="00EA796A">
        <w:rPr>
          <w:rFonts w:cs="Times New Roman"/>
          <w:color w:val="000000" w:themeColor="text1"/>
          <w:szCs w:val="24"/>
          <w:lang w:val="en-GB"/>
        </w:rPr>
        <w:t xml:space="preserve"> new mechanism. Because the proceedings before the Commission blatantly violated the State’s right to defense, the State requests the Court to declare the petition inadmissible.</w:t>
      </w:r>
    </w:p>
    <w:p w14:paraId="0B2BF564" w14:textId="15B253D6" w:rsidR="00F642A4" w:rsidRPr="00EA796A" w:rsidRDefault="00F642A4" w:rsidP="00EF5B4E">
      <w:pPr>
        <w:pStyle w:val="Heading2"/>
        <w:spacing w:after="0"/>
        <w:rPr>
          <w:rFonts w:ascii="Times New Roman" w:hAnsi="Times New Roman" w:cs="Times New Roman"/>
          <w:color w:val="000000" w:themeColor="text1"/>
          <w:sz w:val="24"/>
          <w:szCs w:val="24"/>
          <w:lang w:val="en-GB"/>
        </w:rPr>
      </w:pPr>
      <w:bookmarkStart w:id="29" w:name="_Toc288789552"/>
      <w:r w:rsidRPr="00EA796A">
        <w:rPr>
          <w:rFonts w:ascii="Times New Roman" w:hAnsi="Times New Roman" w:cs="Times New Roman"/>
          <w:color w:val="000000" w:themeColor="text1"/>
          <w:sz w:val="24"/>
          <w:szCs w:val="24"/>
          <w:lang w:val="en-GB"/>
        </w:rPr>
        <w:t>Alleged Violations</w:t>
      </w:r>
      <w:bookmarkEnd w:id="29"/>
    </w:p>
    <w:p w14:paraId="0717F59F" w14:textId="0758DEE7" w:rsidR="00BE3A14" w:rsidRPr="00EA796A" w:rsidRDefault="00DB25A5" w:rsidP="00EF5B4E">
      <w:pPr>
        <w:pStyle w:val="Heading3"/>
        <w:rPr>
          <w:color w:val="000000" w:themeColor="text1"/>
        </w:rPr>
      </w:pPr>
      <w:bookmarkStart w:id="30" w:name="_Toc287780508"/>
      <w:bookmarkStart w:id="31" w:name="_Toc414047142"/>
      <w:bookmarkStart w:id="32" w:name="_Toc288551020"/>
      <w:bookmarkStart w:id="33" w:name="_Toc288727700"/>
      <w:bookmarkStart w:id="34" w:name="_Toc288789553"/>
      <w:r w:rsidRPr="00EA796A">
        <w:rPr>
          <w:color w:val="000000" w:themeColor="text1"/>
        </w:rPr>
        <w:t>The ACRL did not violate A</w:t>
      </w:r>
      <w:r w:rsidR="00BE3A14" w:rsidRPr="00EA796A">
        <w:rPr>
          <w:color w:val="000000" w:themeColor="text1"/>
        </w:rPr>
        <w:t>rt. 8 and 25 ACHR</w:t>
      </w:r>
      <w:bookmarkEnd w:id="30"/>
      <w:bookmarkEnd w:id="31"/>
      <w:bookmarkEnd w:id="32"/>
      <w:bookmarkEnd w:id="33"/>
      <w:bookmarkEnd w:id="34"/>
    </w:p>
    <w:p w14:paraId="396A0573" w14:textId="6E629BDA" w:rsidR="0005431B" w:rsidRPr="00EA796A" w:rsidRDefault="0005431B" w:rsidP="00EF5B4E">
      <w:pPr>
        <w:spacing w:after="0"/>
        <w:rPr>
          <w:rFonts w:cs="Times New Roman"/>
          <w:color w:val="000000" w:themeColor="text1"/>
          <w:szCs w:val="24"/>
          <w:lang w:val="en-GB"/>
        </w:rPr>
      </w:pPr>
      <w:bookmarkStart w:id="35" w:name="_Toc287780509"/>
      <w:bookmarkStart w:id="36" w:name="_Toc414047143"/>
      <w:bookmarkStart w:id="37" w:name="_Toc288551021"/>
      <w:bookmarkStart w:id="38" w:name="_Toc288727701"/>
      <w:r w:rsidRPr="00EA796A">
        <w:rPr>
          <w:rFonts w:cs="Times New Roman"/>
          <w:color w:val="000000" w:themeColor="text1"/>
          <w:szCs w:val="24"/>
          <w:lang w:val="en-GB"/>
        </w:rPr>
        <w:t xml:space="preserve">All applicants claim the lack </w:t>
      </w:r>
      <w:r w:rsidR="00DB25A5" w:rsidRPr="00EA796A">
        <w:rPr>
          <w:rFonts w:cs="Times New Roman"/>
          <w:color w:val="000000" w:themeColor="text1"/>
          <w:szCs w:val="24"/>
          <w:lang w:val="en-GB"/>
        </w:rPr>
        <w:t xml:space="preserve">effectiveness of the system established by the ACRL with regard to </w:t>
      </w:r>
      <w:r w:rsidRPr="00EA796A">
        <w:rPr>
          <w:rFonts w:cs="Times New Roman"/>
          <w:color w:val="000000" w:themeColor="text1"/>
          <w:szCs w:val="24"/>
          <w:lang w:val="en-GB"/>
        </w:rPr>
        <w:t>investigation, prosecution and punishment</w:t>
      </w:r>
      <w:r w:rsidRPr="00EA796A">
        <w:rPr>
          <w:rStyle w:val="FootnoteReference"/>
          <w:rFonts w:cs="Times New Roman"/>
          <w:color w:val="000000" w:themeColor="text1"/>
          <w:szCs w:val="24"/>
          <w:lang w:val="en-GB"/>
        </w:rPr>
        <w:footnoteReference w:id="58"/>
      </w:r>
      <w:r w:rsidR="00DB25A5" w:rsidRPr="00EA796A">
        <w:rPr>
          <w:rFonts w:cs="Times New Roman"/>
          <w:color w:val="000000" w:themeColor="text1"/>
          <w:szCs w:val="24"/>
          <w:lang w:val="en-GB"/>
        </w:rPr>
        <w:t>. This law</w:t>
      </w:r>
      <w:r w:rsidRPr="00EA796A">
        <w:rPr>
          <w:rFonts w:cs="Times New Roman"/>
          <w:color w:val="000000" w:themeColor="text1"/>
          <w:szCs w:val="24"/>
          <w:lang w:val="en-GB"/>
        </w:rPr>
        <w:t xml:space="preserve"> was accepted by </w:t>
      </w:r>
      <w:r w:rsidR="00DB25A5" w:rsidRPr="00EA796A">
        <w:rPr>
          <w:rFonts w:cs="Times New Roman"/>
          <w:color w:val="000000" w:themeColor="text1"/>
          <w:szCs w:val="24"/>
          <w:lang w:val="en-GB"/>
        </w:rPr>
        <w:t>a majority in Congress and</w:t>
      </w:r>
      <w:r w:rsidR="00F22E99" w:rsidRPr="00EA796A">
        <w:rPr>
          <w:rFonts w:cs="Times New Roman"/>
          <w:color w:val="000000" w:themeColor="text1"/>
          <w:szCs w:val="24"/>
          <w:lang w:val="en-GB"/>
        </w:rPr>
        <w:t xml:space="preserve"> by</w:t>
      </w:r>
      <w:r w:rsidR="00DB25A5" w:rsidRPr="00EA796A">
        <w:rPr>
          <w:rFonts w:cs="Times New Roman"/>
          <w:color w:val="000000" w:themeColor="text1"/>
          <w:szCs w:val="24"/>
          <w:lang w:val="en-GB"/>
        </w:rPr>
        <w:t xml:space="preserve"> </w:t>
      </w:r>
      <w:r w:rsidRPr="00EA796A">
        <w:rPr>
          <w:rFonts w:cs="Times New Roman"/>
          <w:color w:val="000000" w:themeColor="text1"/>
          <w:szCs w:val="24"/>
          <w:lang w:val="en-GB"/>
        </w:rPr>
        <w:t>95% of the voters in a referendum.</w:t>
      </w:r>
      <w:r w:rsidRPr="00EA796A">
        <w:rPr>
          <w:rStyle w:val="FootnoteReference"/>
          <w:rFonts w:cs="Times New Roman"/>
          <w:color w:val="000000" w:themeColor="text1"/>
          <w:szCs w:val="24"/>
          <w:lang w:val="en-GB"/>
        </w:rPr>
        <w:footnoteReference w:id="59"/>
      </w:r>
      <w:r w:rsidRPr="00EA796A">
        <w:rPr>
          <w:rFonts w:cs="Times New Roman"/>
          <w:color w:val="000000" w:themeColor="text1"/>
          <w:szCs w:val="24"/>
          <w:lang w:val="en-GB"/>
        </w:rPr>
        <w:t xml:space="preserve"> These claims will be discussed under the specific parts concerning the positive obligatio</w:t>
      </w:r>
      <w:r w:rsidR="00DB25A5" w:rsidRPr="00EA796A">
        <w:rPr>
          <w:rFonts w:cs="Times New Roman"/>
          <w:color w:val="000000" w:themeColor="text1"/>
          <w:szCs w:val="24"/>
          <w:lang w:val="en-GB"/>
        </w:rPr>
        <w:t xml:space="preserve">ns under the alleged violations. </w:t>
      </w:r>
      <w:r w:rsidRPr="00EA796A">
        <w:rPr>
          <w:rFonts w:cs="Times New Roman"/>
          <w:color w:val="000000" w:themeColor="text1"/>
          <w:szCs w:val="24"/>
          <w:lang w:val="en-GB"/>
        </w:rPr>
        <w:t xml:space="preserve">However, the ACRL did not create a situation of impunity. The State did not violate Art. 8 and 25 </w:t>
      </w:r>
      <w:r w:rsidR="003018FF" w:rsidRPr="00EA796A">
        <w:rPr>
          <w:rFonts w:cs="Times New Roman"/>
          <w:i/>
          <w:color w:val="000000" w:themeColor="text1"/>
          <w:szCs w:val="24"/>
          <w:lang w:val="en-GB"/>
        </w:rPr>
        <w:t>juncto</w:t>
      </w:r>
      <w:r w:rsidR="003018FF" w:rsidRPr="00EA796A">
        <w:rPr>
          <w:rFonts w:cs="Times New Roman"/>
          <w:color w:val="000000" w:themeColor="text1"/>
          <w:szCs w:val="24"/>
          <w:lang w:val="en-GB"/>
        </w:rPr>
        <w:t xml:space="preserve">  </w:t>
      </w:r>
      <w:r w:rsidRPr="00EA796A">
        <w:rPr>
          <w:rFonts w:cs="Times New Roman"/>
          <w:color w:val="000000" w:themeColor="text1"/>
          <w:szCs w:val="24"/>
          <w:lang w:val="en-GB"/>
        </w:rPr>
        <w:t>1(1) and 2 ACHR.</w:t>
      </w:r>
    </w:p>
    <w:p w14:paraId="335FD935" w14:textId="57A83CEB" w:rsidR="0005431B" w:rsidRPr="00EA796A" w:rsidRDefault="0005431B" w:rsidP="00EF5B4E">
      <w:pPr>
        <w:spacing w:after="0"/>
        <w:rPr>
          <w:rFonts w:cs="Times New Roman"/>
          <w:color w:val="000000" w:themeColor="text1"/>
          <w:szCs w:val="24"/>
          <w:lang w:val="en-GB"/>
        </w:rPr>
      </w:pPr>
      <w:r w:rsidRPr="00EA796A">
        <w:rPr>
          <w:rFonts w:cs="Times New Roman"/>
          <w:color w:val="000000" w:themeColor="text1"/>
          <w:szCs w:val="24"/>
          <w:lang w:val="en-GB"/>
        </w:rPr>
        <w:lastRenderedPageBreak/>
        <w:t>The Court does not allow laws leading to total impunity and obstructing effective investigations.</w:t>
      </w:r>
      <w:r w:rsidRPr="00EA796A">
        <w:rPr>
          <w:rStyle w:val="FootnoteReference"/>
          <w:rFonts w:cs="Times New Roman"/>
          <w:color w:val="000000" w:themeColor="text1"/>
          <w:szCs w:val="24"/>
          <w:lang w:val="en-GB"/>
        </w:rPr>
        <w:footnoteReference w:id="60"/>
      </w:r>
      <w:r w:rsidRPr="00EA796A">
        <w:rPr>
          <w:rFonts w:cs="Times New Roman"/>
          <w:color w:val="000000" w:themeColor="text1"/>
          <w:szCs w:val="24"/>
          <w:lang w:val="en-GB"/>
        </w:rPr>
        <w:t xml:space="preserve"> It has defined impunity as: “</w:t>
      </w:r>
      <w:r w:rsidRPr="00EA796A">
        <w:rPr>
          <w:rFonts w:cs="Times New Roman"/>
          <w:i/>
          <w:color w:val="000000" w:themeColor="text1"/>
          <w:szCs w:val="24"/>
          <w:lang w:val="en-GB"/>
        </w:rPr>
        <w:t>The total lack of investigation, prosecution, capture, trial and conviction of those responsible for violations of the rights protected by the American Convention”.</w:t>
      </w:r>
      <w:r w:rsidRPr="00EA796A">
        <w:rPr>
          <w:rStyle w:val="FootnoteReference"/>
          <w:rFonts w:cs="Times New Roman"/>
          <w:color w:val="000000" w:themeColor="text1"/>
          <w:szCs w:val="24"/>
          <w:lang w:val="en-GB"/>
        </w:rPr>
        <w:footnoteReference w:id="61"/>
      </w:r>
      <w:r w:rsidRPr="00EA796A">
        <w:rPr>
          <w:rFonts w:cs="Times New Roman"/>
          <w:color w:val="000000" w:themeColor="text1"/>
          <w:szCs w:val="24"/>
          <w:lang w:val="en-GB"/>
        </w:rPr>
        <w:t xml:space="preserve"> There wa</w:t>
      </w:r>
      <w:r w:rsidR="00AE51B0" w:rsidRPr="00EA796A">
        <w:rPr>
          <w:rFonts w:cs="Times New Roman"/>
          <w:color w:val="000000" w:themeColor="text1"/>
          <w:szCs w:val="24"/>
          <w:lang w:val="en-GB"/>
        </w:rPr>
        <w:t>s no such situation in this case</w:t>
      </w:r>
      <w:r w:rsidRPr="00EA796A">
        <w:rPr>
          <w:rFonts w:cs="Times New Roman"/>
          <w:color w:val="000000" w:themeColor="text1"/>
          <w:szCs w:val="24"/>
          <w:lang w:val="en-GB"/>
        </w:rPr>
        <w:t xml:space="preserve">. </w:t>
      </w:r>
      <w:r w:rsidR="00AE51B0" w:rsidRPr="00EA796A">
        <w:rPr>
          <w:rFonts w:cs="Times New Roman"/>
          <w:color w:val="000000" w:themeColor="text1"/>
          <w:szCs w:val="24"/>
          <w:lang w:val="en-GB"/>
        </w:rPr>
        <w:t>A</w:t>
      </w:r>
      <w:r w:rsidRPr="00EA796A">
        <w:rPr>
          <w:rFonts w:cs="Times New Roman"/>
          <w:color w:val="000000" w:themeColor="text1"/>
          <w:szCs w:val="24"/>
          <w:lang w:val="en-GB"/>
        </w:rPr>
        <w:t>ll applicants benefited from an effective investigation. The most responsible perpetrators were prosecuted and punished</w:t>
      </w:r>
      <w:r w:rsidRPr="00EA796A">
        <w:rPr>
          <w:rStyle w:val="FootnoteReference"/>
          <w:rFonts w:cs="Times New Roman"/>
          <w:color w:val="000000" w:themeColor="text1"/>
          <w:szCs w:val="24"/>
          <w:lang w:val="en-GB"/>
        </w:rPr>
        <w:footnoteReference w:id="62"/>
      </w:r>
      <w:r w:rsidRPr="00EA796A">
        <w:rPr>
          <w:rFonts w:cs="Times New Roman"/>
          <w:color w:val="000000" w:themeColor="text1"/>
          <w:szCs w:val="24"/>
          <w:lang w:val="en-GB"/>
        </w:rPr>
        <w:t>, in line with the demand of the Court to punish masterminds of human rights violations.</w:t>
      </w:r>
      <w:r w:rsidRPr="00EA796A">
        <w:rPr>
          <w:rStyle w:val="FootnoteReference"/>
          <w:rFonts w:cs="Times New Roman"/>
          <w:color w:val="000000" w:themeColor="text1"/>
          <w:szCs w:val="24"/>
          <w:lang w:val="en-GB"/>
        </w:rPr>
        <w:footnoteReference w:id="63"/>
      </w:r>
      <w:r w:rsidRPr="00EA796A">
        <w:rPr>
          <w:rFonts w:cs="Times New Roman"/>
          <w:color w:val="000000" w:themeColor="text1"/>
          <w:szCs w:val="24"/>
          <w:lang w:val="en-GB"/>
        </w:rPr>
        <w:t xml:space="preserve"> The Public Ministry and the HTC identified these perpetrators</w:t>
      </w:r>
      <w:r w:rsidR="00AE51B0" w:rsidRPr="00EA796A">
        <w:rPr>
          <w:rFonts w:cs="Times New Roman"/>
          <w:color w:val="000000" w:themeColor="text1"/>
          <w:szCs w:val="24"/>
          <w:lang w:val="en-GB"/>
        </w:rPr>
        <w:t>,</w:t>
      </w:r>
      <w:r w:rsidRPr="00EA796A">
        <w:rPr>
          <w:rFonts w:cs="Times New Roman"/>
          <w:color w:val="000000" w:themeColor="text1"/>
          <w:szCs w:val="24"/>
          <w:lang w:val="en-GB"/>
        </w:rPr>
        <w:t xml:space="preserve"> using the following criteria: the level of leadership, the degree of responsibility, the position of control and the capacity for effective control.</w:t>
      </w:r>
      <w:r w:rsidRPr="00EA796A">
        <w:rPr>
          <w:rStyle w:val="FootnoteReference"/>
          <w:rFonts w:cs="Times New Roman"/>
          <w:color w:val="000000" w:themeColor="text1"/>
          <w:szCs w:val="24"/>
          <w:lang w:val="en-GB"/>
        </w:rPr>
        <w:footnoteReference w:id="64"/>
      </w:r>
      <w:r w:rsidRPr="00EA796A">
        <w:rPr>
          <w:rFonts w:cs="Times New Roman"/>
          <w:color w:val="000000" w:themeColor="text1"/>
          <w:szCs w:val="24"/>
          <w:lang w:val="en-GB"/>
        </w:rPr>
        <w:t xml:space="preserve"> This is in line with international case law from courts such as the</w:t>
      </w:r>
      <w:r w:rsidR="0030600D" w:rsidRPr="00EA796A">
        <w:rPr>
          <w:rFonts w:cs="Times New Roman"/>
          <w:color w:val="000000" w:themeColor="text1"/>
          <w:szCs w:val="24"/>
          <w:lang w:val="en-GB"/>
        </w:rPr>
        <w:t xml:space="preserve"> International Criminal Court (“ICC”</w:t>
      </w:r>
      <w:r w:rsidRPr="00EA796A">
        <w:rPr>
          <w:rFonts w:cs="Times New Roman"/>
          <w:color w:val="000000" w:themeColor="text1"/>
          <w:szCs w:val="24"/>
          <w:lang w:val="en-GB"/>
        </w:rPr>
        <w:t>)</w:t>
      </w:r>
      <w:r w:rsidRPr="00EA796A">
        <w:rPr>
          <w:rStyle w:val="FootnoteReference"/>
          <w:rFonts w:cs="Times New Roman"/>
          <w:color w:val="000000" w:themeColor="text1"/>
          <w:szCs w:val="24"/>
          <w:lang w:val="en-GB"/>
        </w:rPr>
        <w:t xml:space="preserve"> </w:t>
      </w:r>
      <w:r w:rsidRPr="00EA796A">
        <w:rPr>
          <w:rStyle w:val="FootnoteReference"/>
          <w:rFonts w:cs="Times New Roman"/>
          <w:color w:val="000000" w:themeColor="text1"/>
          <w:szCs w:val="24"/>
          <w:lang w:val="en-GB"/>
        </w:rPr>
        <w:footnoteReference w:id="65"/>
      </w:r>
      <w:r w:rsidRPr="00EA796A">
        <w:rPr>
          <w:rFonts w:cs="Times New Roman"/>
          <w:color w:val="000000" w:themeColor="text1"/>
          <w:szCs w:val="24"/>
          <w:lang w:val="en-GB"/>
        </w:rPr>
        <w:t>, the International Criminal Tribu</w:t>
      </w:r>
      <w:r w:rsidR="0030600D" w:rsidRPr="00EA796A">
        <w:rPr>
          <w:rFonts w:cs="Times New Roman"/>
          <w:color w:val="000000" w:themeColor="text1"/>
          <w:szCs w:val="24"/>
          <w:lang w:val="en-GB"/>
        </w:rPr>
        <w:t>nal for the Former Yugoslavia (“ICTY”</w:t>
      </w:r>
      <w:r w:rsidRPr="00EA796A">
        <w:rPr>
          <w:rFonts w:cs="Times New Roman"/>
          <w:color w:val="000000" w:themeColor="text1"/>
          <w:szCs w:val="24"/>
          <w:lang w:val="en-GB"/>
        </w:rPr>
        <w:t>)</w:t>
      </w:r>
      <w:r w:rsidR="008539BB" w:rsidRPr="00EA796A">
        <w:rPr>
          <w:rFonts w:cs="Times New Roman"/>
          <w:color w:val="000000" w:themeColor="text1"/>
          <w:szCs w:val="24"/>
          <w:lang w:val="en-GB"/>
        </w:rPr>
        <w:t>.</w:t>
      </w:r>
      <w:r w:rsidRPr="00EA796A">
        <w:rPr>
          <w:rStyle w:val="FootnoteReference"/>
          <w:rFonts w:cs="Times New Roman"/>
          <w:color w:val="000000" w:themeColor="text1"/>
          <w:szCs w:val="24"/>
          <w:lang w:val="en-GB"/>
        </w:rPr>
        <w:footnoteReference w:id="66"/>
      </w:r>
      <w:r w:rsidRPr="00EA796A">
        <w:rPr>
          <w:rFonts w:cs="Times New Roman"/>
          <w:color w:val="000000" w:themeColor="text1"/>
          <w:szCs w:val="24"/>
          <w:lang w:val="en-GB"/>
        </w:rPr>
        <w:t>Those courts apply the principle of command responsibility. Each mentioned court has a provision in its Statute proclaiming this principle, which holds that commanders are responsible for the acts of their subordinates if they knew or had to know about them.</w:t>
      </w:r>
      <w:r w:rsidRPr="00EA796A">
        <w:rPr>
          <w:rStyle w:val="FootnoteReference"/>
          <w:rFonts w:cs="Times New Roman"/>
          <w:color w:val="000000" w:themeColor="text1"/>
          <w:szCs w:val="24"/>
          <w:lang w:val="en-GB"/>
        </w:rPr>
        <w:footnoteReference w:id="67"/>
      </w:r>
      <w:r w:rsidRPr="00EA796A">
        <w:rPr>
          <w:rFonts w:cs="Times New Roman"/>
          <w:color w:val="000000" w:themeColor="text1"/>
          <w:szCs w:val="24"/>
          <w:lang w:val="en-GB"/>
        </w:rPr>
        <w:t xml:space="preserve"> The principle of command responsibility is a “</w:t>
      </w:r>
      <w:r w:rsidRPr="00EA796A">
        <w:rPr>
          <w:rFonts w:cs="Times New Roman"/>
          <w:i/>
          <w:color w:val="000000" w:themeColor="text1"/>
          <w:szCs w:val="24"/>
          <w:lang w:val="en-GB"/>
        </w:rPr>
        <w:t>well-established principle of International Law</w:t>
      </w:r>
      <w:r w:rsidRPr="00EA796A">
        <w:rPr>
          <w:rFonts w:cs="Times New Roman"/>
          <w:color w:val="000000" w:themeColor="text1"/>
          <w:szCs w:val="24"/>
          <w:lang w:val="en-GB"/>
        </w:rPr>
        <w:t>”</w:t>
      </w:r>
      <w:r w:rsidRPr="00EA796A">
        <w:rPr>
          <w:rStyle w:val="FootnoteReference"/>
          <w:rFonts w:cs="Times New Roman"/>
          <w:color w:val="000000" w:themeColor="text1"/>
          <w:szCs w:val="24"/>
          <w:lang w:val="en-GB"/>
        </w:rPr>
        <w:footnoteReference w:id="68"/>
      </w:r>
      <w:r w:rsidR="00AE51B0" w:rsidRPr="00EA796A">
        <w:rPr>
          <w:rFonts w:cs="Times New Roman"/>
          <w:color w:val="000000" w:themeColor="text1"/>
          <w:szCs w:val="24"/>
          <w:lang w:val="en-GB"/>
        </w:rPr>
        <w:t xml:space="preserve"> which can also be found in e.g.</w:t>
      </w:r>
      <w:r w:rsidRPr="00EA796A">
        <w:rPr>
          <w:rFonts w:cs="Times New Roman"/>
          <w:color w:val="000000" w:themeColor="text1"/>
          <w:szCs w:val="24"/>
          <w:lang w:val="en-GB"/>
        </w:rPr>
        <w:t xml:space="preserve"> Art. 86 of Additional Protocol I to the Geneva Conventions</w:t>
      </w:r>
      <w:r w:rsidRPr="00EA796A">
        <w:rPr>
          <w:rStyle w:val="FootnoteReference"/>
          <w:rFonts w:cs="Times New Roman"/>
          <w:color w:val="000000" w:themeColor="text1"/>
          <w:szCs w:val="24"/>
          <w:lang w:val="en-GB"/>
        </w:rPr>
        <w:footnoteReference w:id="69"/>
      </w:r>
      <w:r w:rsidRPr="00EA796A">
        <w:rPr>
          <w:rFonts w:cs="Times New Roman"/>
          <w:color w:val="000000" w:themeColor="text1"/>
          <w:szCs w:val="24"/>
          <w:lang w:val="en-GB"/>
        </w:rPr>
        <w:t xml:space="preserve">. The ACRL’s system of identification is in line with this principle. The Court has used the </w:t>
      </w:r>
      <w:r w:rsidRPr="00EA796A">
        <w:rPr>
          <w:rFonts w:cs="Times New Roman"/>
          <w:color w:val="000000" w:themeColor="text1"/>
          <w:szCs w:val="24"/>
          <w:lang w:val="en-GB"/>
        </w:rPr>
        <w:lastRenderedPageBreak/>
        <w:t>following criteria in its case law for defining serious violations: the nature of the rights violated, the scale and magnitude of violations, the type and the vulnerability of the victims or a combination of these.</w:t>
      </w:r>
      <w:r w:rsidRPr="00EA796A">
        <w:rPr>
          <w:rFonts w:cs="Times New Roman"/>
          <w:color w:val="000000" w:themeColor="text1"/>
          <w:szCs w:val="24"/>
          <w:vertAlign w:val="superscript"/>
          <w:lang w:val="en-GB"/>
        </w:rPr>
        <w:footnoteReference w:id="70"/>
      </w:r>
      <w:r w:rsidRPr="00EA796A">
        <w:rPr>
          <w:rFonts w:cs="Times New Roman"/>
          <w:color w:val="000000" w:themeColor="text1"/>
          <w:szCs w:val="24"/>
          <w:lang w:val="en-GB"/>
        </w:rPr>
        <w:t xml:space="preserve"> These criteria are echoed by the ACRL and are therefore in line with the Court’s jurisprudence. </w:t>
      </w:r>
      <w:r w:rsidR="00AE51B0" w:rsidRPr="00EA796A">
        <w:rPr>
          <w:rFonts w:cs="Times New Roman"/>
          <w:color w:val="000000" w:themeColor="text1"/>
          <w:szCs w:val="24"/>
          <w:lang w:val="en-GB"/>
        </w:rPr>
        <w:t>Based on the findings of the HTC, the Public Ministry selected the most serious violations to be prosecuted according to the following principles: the intrinsic nature of the conduct, the scale, the modality and the impact of the crime.</w:t>
      </w:r>
      <w:r w:rsidR="00AE51B0" w:rsidRPr="00EA796A">
        <w:rPr>
          <w:rStyle w:val="FootnoteReference"/>
          <w:rFonts w:cs="Times New Roman"/>
          <w:color w:val="000000" w:themeColor="text1"/>
          <w:szCs w:val="24"/>
          <w:lang w:val="en-GB"/>
        </w:rPr>
        <w:footnoteReference w:id="71"/>
      </w:r>
      <w:r w:rsidR="00AE51B0" w:rsidRPr="00EA796A">
        <w:rPr>
          <w:rFonts w:cs="Times New Roman"/>
          <w:color w:val="000000" w:themeColor="text1"/>
          <w:szCs w:val="24"/>
          <w:lang w:val="en-GB"/>
        </w:rPr>
        <w:t xml:space="preserve"> </w:t>
      </w:r>
      <w:r w:rsidRPr="00EA796A">
        <w:rPr>
          <w:rFonts w:cs="Times New Roman"/>
          <w:color w:val="000000" w:themeColor="text1"/>
          <w:szCs w:val="24"/>
          <w:lang w:val="en-GB"/>
        </w:rPr>
        <w:t>They further comply with case law from other judicial bodies, such as the ICC</w:t>
      </w:r>
      <w:r w:rsidRPr="00EA796A">
        <w:rPr>
          <w:rStyle w:val="FootnoteReference"/>
          <w:rFonts w:cs="Times New Roman"/>
          <w:color w:val="000000" w:themeColor="text1"/>
          <w:szCs w:val="24"/>
          <w:lang w:val="en-GB"/>
        </w:rPr>
        <w:footnoteReference w:id="72"/>
      </w:r>
      <w:r w:rsidRPr="00EA796A">
        <w:rPr>
          <w:rFonts w:cs="Times New Roman"/>
          <w:color w:val="000000" w:themeColor="text1"/>
          <w:szCs w:val="24"/>
          <w:lang w:val="en-GB"/>
        </w:rPr>
        <w:t xml:space="preserve"> and the ICTY</w:t>
      </w:r>
      <w:r w:rsidRPr="00EA796A">
        <w:rPr>
          <w:rStyle w:val="FootnoteReference"/>
          <w:rFonts w:cs="Times New Roman"/>
          <w:color w:val="000000" w:themeColor="text1"/>
          <w:szCs w:val="24"/>
          <w:lang w:val="en-GB"/>
        </w:rPr>
        <w:footnoteReference w:id="73"/>
      </w:r>
      <w:r w:rsidRPr="00EA796A">
        <w:rPr>
          <w:rFonts w:cs="Times New Roman"/>
          <w:color w:val="000000" w:themeColor="text1"/>
          <w:szCs w:val="24"/>
          <w:lang w:val="en-GB"/>
        </w:rPr>
        <w:t>. The ICC’s criteria are especially relevant since the Court has referred to the ICC’s case law and Statute.</w:t>
      </w:r>
      <w:r w:rsidRPr="00EA796A">
        <w:rPr>
          <w:rFonts w:cs="Times New Roman"/>
          <w:color w:val="000000" w:themeColor="text1"/>
          <w:szCs w:val="24"/>
          <w:vertAlign w:val="superscript"/>
          <w:lang w:val="en-GB"/>
        </w:rPr>
        <w:footnoteReference w:id="74"/>
      </w:r>
      <w:r w:rsidRPr="00EA796A">
        <w:rPr>
          <w:rFonts w:cs="Times New Roman"/>
          <w:color w:val="000000" w:themeColor="text1"/>
          <w:szCs w:val="24"/>
          <w:lang w:val="en-GB"/>
        </w:rPr>
        <w:t xml:space="preserve"> The Court has further based itself on the ICTY’s opinion that crimes against humanity must be prosecuted.</w:t>
      </w:r>
      <w:r w:rsidRPr="00EA796A">
        <w:rPr>
          <w:rStyle w:val="FootnoteReference"/>
          <w:rFonts w:cs="Times New Roman"/>
          <w:color w:val="000000" w:themeColor="text1"/>
          <w:szCs w:val="24"/>
          <w:lang w:val="en-GB"/>
        </w:rPr>
        <w:footnoteReference w:id="75"/>
      </w:r>
      <w:r w:rsidRPr="00EA796A">
        <w:rPr>
          <w:rFonts w:cs="Times New Roman"/>
          <w:color w:val="000000" w:themeColor="text1"/>
          <w:szCs w:val="24"/>
          <w:lang w:val="en-GB"/>
        </w:rPr>
        <w:t xml:space="preserve"> The ACRL allows and leads to the prosecution of the culprits of crimes against humanity. Therefore, it also complies with the principles of the Convention on the Non-Applicability of Statutory Limitations to War Crimes and Crimes Against Humanity.</w:t>
      </w:r>
      <w:r w:rsidRPr="00EA796A">
        <w:rPr>
          <w:rStyle w:val="FootnoteReference"/>
          <w:rFonts w:cs="Times New Roman"/>
          <w:color w:val="000000" w:themeColor="text1"/>
          <w:szCs w:val="24"/>
          <w:lang w:val="en-GB"/>
        </w:rPr>
        <w:footnoteReference w:id="76"/>
      </w:r>
      <w:r w:rsidR="002E39AB" w:rsidRPr="00EA796A">
        <w:rPr>
          <w:rFonts w:cs="Times New Roman"/>
          <w:color w:val="000000" w:themeColor="text1"/>
          <w:szCs w:val="24"/>
          <w:lang w:val="en-GB"/>
        </w:rPr>
        <w:t xml:space="preserve"> </w:t>
      </w:r>
      <w:r w:rsidR="002113DD" w:rsidRPr="00EA796A">
        <w:rPr>
          <w:rFonts w:cs="Times New Roman"/>
          <w:color w:val="000000" w:themeColor="text1"/>
          <w:szCs w:val="24"/>
          <w:lang w:val="en-GB"/>
        </w:rPr>
        <w:t>In 2006, the Commission largely lauded a law similar to the ACRL in Colombia.</w:t>
      </w:r>
      <w:r w:rsidR="002E39AB" w:rsidRPr="00EA796A">
        <w:rPr>
          <w:rStyle w:val="FootnoteReference"/>
          <w:rFonts w:cs="Times New Roman"/>
          <w:color w:val="000000" w:themeColor="text1"/>
          <w:szCs w:val="24"/>
          <w:lang w:val="en-GB"/>
        </w:rPr>
        <w:footnoteReference w:id="77"/>
      </w:r>
      <w:r w:rsidR="002E39AB" w:rsidRPr="00EA796A">
        <w:rPr>
          <w:rFonts w:cs="Times New Roman"/>
          <w:color w:val="000000" w:themeColor="text1"/>
          <w:szCs w:val="24"/>
          <w:lang w:val="en-GB"/>
        </w:rPr>
        <w:t xml:space="preserve"> This law established the principle of opportunity. </w:t>
      </w:r>
      <w:r w:rsidR="002113DD" w:rsidRPr="00EA796A">
        <w:rPr>
          <w:rFonts w:cs="Times New Roman"/>
          <w:color w:val="000000" w:themeColor="text1"/>
          <w:szCs w:val="24"/>
          <w:lang w:val="en-GB"/>
        </w:rPr>
        <w:t>S</w:t>
      </w:r>
      <w:r w:rsidR="002E39AB" w:rsidRPr="00EA796A">
        <w:rPr>
          <w:rFonts w:cs="Times New Roman"/>
          <w:color w:val="000000" w:themeColor="text1"/>
          <w:szCs w:val="24"/>
          <w:lang w:val="en-GB"/>
        </w:rPr>
        <w:t>tates apply</w:t>
      </w:r>
      <w:r w:rsidR="002113DD" w:rsidRPr="00EA796A">
        <w:rPr>
          <w:rFonts w:cs="Times New Roman"/>
          <w:color w:val="000000" w:themeColor="text1"/>
          <w:szCs w:val="24"/>
          <w:lang w:val="en-GB"/>
        </w:rPr>
        <w:t>ing</w:t>
      </w:r>
      <w:r w:rsidR="002E39AB" w:rsidRPr="00EA796A">
        <w:rPr>
          <w:rFonts w:cs="Times New Roman"/>
          <w:color w:val="000000" w:themeColor="text1"/>
          <w:szCs w:val="24"/>
          <w:lang w:val="en-GB"/>
        </w:rPr>
        <w:t xml:space="preserve"> this principle, select those to be prosecuted to ensure that no situation of impunity would occur, since prosecuting everyone involved would lead to </w:t>
      </w:r>
      <w:r w:rsidR="002E39AB" w:rsidRPr="00EA796A">
        <w:rPr>
          <w:rFonts w:cs="Times New Roman"/>
          <w:color w:val="000000" w:themeColor="text1"/>
          <w:szCs w:val="24"/>
          <w:lang w:val="en-GB"/>
        </w:rPr>
        <w:lastRenderedPageBreak/>
        <w:t>court congestion eventually leading to impunity. The selection of those responsible consequently prevents a situation of impunity.</w:t>
      </w:r>
    </w:p>
    <w:p w14:paraId="7F1C8437" w14:textId="5BE4EFC6" w:rsidR="0005431B" w:rsidRPr="00EA796A" w:rsidRDefault="0005431B" w:rsidP="00EF5B4E">
      <w:pPr>
        <w:spacing w:after="0"/>
        <w:rPr>
          <w:rFonts w:cs="Times New Roman"/>
          <w:color w:val="000000" w:themeColor="text1"/>
          <w:szCs w:val="24"/>
          <w:lang w:val="en-GB"/>
        </w:rPr>
      </w:pPr>
      <w:r w:rsidRPr="00EA796A">
        <w:rPr>
          <w:rFonts w:cs="Times New Roman"/>
          <w:color w:val="000000" w:themeColor="text1"/>
          <w:szCs w:val="24"/>
          <w:lang w:val="en-GB"/>
        </w:rPr>
        <w:t>A situation of impunity would have led to a denial of access to justice for the victims, infringing their right to truth. This is not the case, as the State satisfied this right by creating the HTC in cooperation with the victims. This balanced the right to truth and the need for reconciliation and peace. Further, the Public Ministry guaranteed criminal investigat</w:t>
      </w:r>
      <w:r w:rsidR="002113DD" w:rsidRPr="00EA796A">
        <w:rPr>
          <w:rFonts w:cs="Times New Roman"/>
          <w:color w:val="000000" w:themeColor="text1"/>
          <w:szCs w:val="24"/>
          <w:lang w:val="en-GB"/>
        </w:rPr>
        <w:t>ions and th</w:t>
      </w:r>
      <w:r w:rsidR="00EE3F3D" w:rsidRPr="00EA796A">
        <w:rPr>
          <w:rFonts w:cs="Times New Roman"/>
          <w:color w:val="000000" w:themeColor="text1"/>
          <w:szCs w:val="24"/>
          <w:lang w:val="en-GB"/>
        </w:rPr>
        <w:t xml:space="preserve">e identification of </w:t>
      </w:r>
      <w:r w:rsidR="00EE3F3D" w:rsidRPr="00EA796A">
        <w:rPr>
          <w:rFonts w:cs="Times New Roman"/>
          <w:i/>
          <w:color w:val="000000" w:themeColor="text1"/>
          <w:szCs w:val="24"/>
          <w:lang w:val="en-GB"/>
        </w:rPr>
        <w:t>mega-cases</w:t>
      </w:r>
      <w:r w:rsidRPr="00EA796A">
        <w:rPr>
          <w:rFonts w:cs="Times New Roman"/>
          <w:color w:val="000000" w:themeColor="text1"/>
          <w:szCs w:val="24"/>
          <w:lang w:val="en-GB"/>
        </w:rPr>
        <w:t xml:space="preserve"> and those most responsible.</w:t>
      </w:r>
      <w:r w:rsidRPr="00EA796A">
        <w:rPr>
          <w:rStyle w:val="FootnoteReference"/>
          <w:rFonts w:cs="Times New Roman"/>
          <w:color w:val="000000" w:themeColor="text1"/>
          <w:szCs w:val="24"/>
          <w:lang w:val="en-GB"/>
        </w:rPr>
        <w:footnoteReference w:id="78"/>
      </w:r>
      <w:r w:rsidRPr="00EA796A">
        <w:rPr>
          <w:rFonts w:cs="Times New Roman"/>
          <w:color w:val="000000" w:themeColor="text1"/>
          <w:szCs w:val="24"/>
          <w:lang w:val="en-GB"/>
        </w:rPr>
        <w:t xml:space="preserve"> Subsequently, a multi-disciplinary High-Level Commission then reviewed the information provided by the HTC and the Public Ministry to decide which crimes and perpetrators would be prosecuted. This </w:t>
      </w:r>
      <w:r w:rsidR="00F22E99" w:rsidRPr="00EA796A">
        <w:rPr>
          <w:rFonts w:cs="Times New Roman"/>
          <w:color w:val="000000" w:themeColor="text1"/>
          <w:szCs w:val="24"/>
          <w:lang w:val="en-GB"/>
        </w:rPr>
        <w:t>led</w:t>
      </w:r>
      <w:r w:rsidRPr="00EA796A">
        <w:rPr>
          <w:rFonts w:cs="Times New Roman"/>
          <w:color w:val="000000" w:themeColor="text1"/>
          <w:szCs w:val="24"/>
          <w:lang w:val="en-GB"/>
        </w:rPr>
        <w:t xml:space="preserve"> to the selection of 14 patterns and 67 persons to be prosecuted by the STT.</w:t>
      </w:r>
      <w:r w:rsidRPr="00EA796A">
        <w:rPr>
          <w:rStyle w:val="FootnoteReference"/>
          <w:rFonts w:cs="Times New Roman"/>
          <w:color w:val="000000" w:themeColor="text1"/>
          <w:szCs w:val="24"/>
          <w:lang w:val="en-GB"/>
        </w:rPr>
        <w:footnoteReference w:id="79"/>
      </w:r>
      <w:r w:rsidRPr="00EA796A">
        <w:rPr>
          <w:rFonts w:cs="Times New Roman"/>
          <w:color w:val="000000" w:themeColor="text1"/>
          <w:szCs w:val="24"/>
          <w:lang w:val="en-GB"/>
        </w:rPr>
        <w:t xml:space="preserve"> Some persons were selected by the HTC, but not prosecuted. In that case a simple, free and prompt judicial remedy was provided, so victims could ask to review the waiver</w:t>
      </w:r>
      <w:r w:rsidR="002113DD" w:rsidRPr="00EA796A">
        <w:rPr>
          <w:rFonts w:cs="Times New Roman"/>
          <w:color w:val="000000" w:themeColor="text1"/>
          <w:szCs w:val="24"/>
          <w:lang w:val="en-GB"/>
        </w:rPr>
        <w:t xml:space="preserve"> of prosecution</w:t>
      </w:r>
      <w:r w:rsidRPr="00EA796A">
        <w:rPr>
          <w:rFonts w:cs="Times New Roman"/>
          <w:color w:val="000000" w:themeColor="text1"/>
          <w:szCs w:val="24"/>
          <w:lang w:val="en-GB"/>
        </w:rPr>
        <w:t>.</w:t>
      </w:r>
      <w:r w:rsidRPr="00EA796A">
        <w:rPr>
          <w:rStyle w:val="FootnoteReference"/>
          <w:rFonts w:cs="Times New Roman"/>
          <w:color w:val="000000" w:themeColor="text1"/>
          <w:szCs w:val="24"/>
          <w:lang w:val="en-GB"/>
        </w:rPr>
        <w:footnoteReference w:id="80"/>
      </w:r>
      <w:r w:rsidRPr="00EA796A">
        <w:rPr>
          <w:rFonts w:cs="Times New Roman"/>
          <w:color w:val="000000" w:themeColor="text1"/>
          <w:szCs w:val="24"/>
          <w:lang w:val="en-GB"/>
        </w:rPr>
        <w:t xml:space="preserve"> This guaranteed the right for victims to know the facts and the identity of the perpetrators</w:t>
      </w:r>
      <w:r w:rsidR="0022391A" w:rsidRPr="00EA796A">
        <w:rPr>
          <w:rFonts w:cs="Times New Roman"/>
          <w:color w:val="000000" w:themeColor="text1"/>
          <w:szCs w:val="24"/>
          <w:lang w:val="en-GB"/>
        </w:rPr>
        <w:t xml:space="preserve">. </w:t>
      </w:r>
      <w:r w:rsidRPr="00EA796A">
        <w:rPr>
          <w:rFonts w:cs="Times New Roman"/>
          <w:color w:val="000000" w:themeColor="text1"/>
          <w:szCs w:val="24"/>
          <w:lang w:val="en-GB"/>
        </w:rPr>
        <w:t xml:space="preserve">As the ACRL did not obstruct </w:t>
      </w:r>
      <w:r w:rsidR="002113DD" w:rsidRPr="00EA796A">
        <w:rPr>
          <w:rFonts w:cs="Times New Roman"/>
          <w:color w:val="000000" w:themeColor="text1"/>
          <w:szCs w:val="24"/>
          <w:lang w:val="en-GB"/>
        </w:rPr>
        <w:t xml:space="preserve">and even facilitated </w:t>
      </w:r>
      <w:r w:rsidRPr="00EA796A">
        <w:rPr>
          <w:rFonts w:cs="Times New Roman"/>
          <w:color w:val="000000" w:themeColor="text1"/>
          <w:szCs w:val="24"/>
          <w:lang w:val="en-GB"/>
        </w:rPr>
        <w:t>investigation, prosecution and punishment, there was no violation of the ACHR.</w:t>
      </w:r>
    </w:p>
    <w:p w14:paraId="190CCDC6" w14:textId="4F000024" w:rsidR="00D2477B" w:rsidRPr="00EA796A" w:rsidRDefault="0022391A" w:rsidP="00EF5B4E">
      <w:pPr>
        <w:pStyle w:val="Heading3"/>
        <w:rPr>
          <w:color w:val="000000" w:themeColor="text1"/>
        </w:rPr>
      </w:pPr>
      <w:bookmarkStart w:id="39" w:name="_Toc288789554"/>
      <w:r w:rsidRPr="00EA796A">
        <w:rPr>
          <w:color w:val="000000" w:themeColor="text1"/>
        </w:rPr>
        <w:lastRenderedPageBreak/>
        <w:t>There is no s</w:t>
      </w:r>
      <w:r w:rsidR="00BE3A14" w:rsidRPr="00EA796A">
        <w:rPr>
          <w:color w:val="000000" w:themeColor="text1"/>
        </w:rPr>
        <w:t xml:space="preserve">tate responsibility for the violations </w:t>
      </w:r>
      <w:r w:rsidRPr="00EA796A">
        <w:rPr>
          <w:color w:val="000000" w:themeColor="text1"/>
        </w:rPr>
        <w:t xml:space="preserve">alleged </w:t>
      </w:r>
      <w:r w:rsidR="00BE3A14" w:rsidRPr="00EA796A">
        <w:rPr>
          <w:color w:val="000000" w:themeColor="text1"/>
        </w:rPr>
        <w:t xml:space="preserve">by Mrs. Bolt, </w:t>
      </w:r>
      <w:r w:rsidR="00FC66CD" w:rsidRPr="00EA796A">
        <w:rPr>
          <w:color w:val="000000" w:themeColor="text1"/>
        </w:rPr>
        <w:t xml:space="preserve">Mr. and Ms. </w:t>
      </w:r>
      <w:r w:rsidR="00BE3A14" w:rsidRPr="00EA796A">
        <w:rPr>
          <w:color w:val="000000" w:themeColor="text1"/>
        </w:rPr>
        <w:t xml:space="preserve">Rossi and </w:t>
      </w:r>
      <w:bookmarkEnd w:id="35"/>
      <w:bookmarkEnd w:id="36"/>
      <w:bookmarkEnd w:id="37"/>
      <w:bookmarkEnd w:id="38"/>
      <w:r w:rsidR="00FC66CD" w:rsidRPr="00EA796A">
        <w:rPr>
          <w:color w:val="000000" w:themeColor="text1"/>
        </w:rPr>
        <w:t xml:space="preserve">Mrs. </w:t>
      </w:r>
      <w:r w:rsidR="008740AF" w:rsidRPr="00EA796A">
        <w:rPr>
          <w:color w:val="000000" w:themeColor="text1"/>
        </w:rPr>
        <w:t>López</w:t>
      </w:r>
      <w:bookmarkStart w:id="40" w:name="_Toc287780510"/>
      <w:bookmarkStart w:id="41" w:name="_Toc414047144"/>
      <w:bookmarkStart w:id="42" w:name="_Toc288551022"/>
      <w:bookmarkStart w:id="43" w:name="_Toc288727702"/>
      <w:bookmarkEnd w:id="39"/>
    </w:p>
    <w:p w14:paraId="32E6C5AA" w14:textId="2D048F0B" w:rsidR="00F642A4" w:rsidRPr="00EA796A" w:rsidRDefault="00D2477B" w:rsidP="00EF5B4E">
      <w:pPr>
        <w:pStyle w:val="Heading4"/>
        <w:rPr>
          <w:color w:val="000000" w:themeColor="text1"/>
        </w:rPr>
      </w:pPr>
      <w:bookmarkStart w:id="44" w:name="_Toc288789555"/>
      <w:r w:rsidRPr="00EA796A">
        <w:rPr>
          <w:color w:val="000000" w:themeColor="text1"/>
        </w:rPr>
        <w:t xml:space="preserve">2.1 </w:t>
      </w:r>
      <w:r w:rsidR="0022391A" w:rsidRPr="00EA796A">
        <w:rPr>
          <w:color w:val="000000" w:themeColor="text1"/>
        </w:rPr>
        <w:t>There is no s</w:t>
      </w:r>
      <w:r w:rsidR="00BE3A14" w:rsidRPr="00EA796A">
        <w:rPr>
          <w:color w:val="000000" w:themeColor="text1"/>
        </w:rPr>
        <w:t>tate responsibility for the alleged forced disappearance of Mr. Bolt</w:t>
      </w:r>
      <w:bookmarkEnd w:id="40"/>
      <w:bookmarkEnd w:id="41"/>
      <w:bookmarkEnd w:id="42"/>
      <w:bookmarkEnd w:id="43"/>
      <w:r w:rsidR="009E6AB7" w:rsidRPr="00EA796A">
        <w:rPr>
          <w:color w:val="000000" w:themeColor="text1"/>
        </w:rPr>
        <w:t xml:space="preserve"> </w:t>
      </w:r>
      <w:r w:rsidR="00415CCD" w:rsidRPr="00EA796A">
        <w:rPr>
          <w:color w:val="000000" w:themeColor="text1"/>
        </w:rPr>
        <w:t>(Art. 3, 4, 5, 7 j° 1(1) and 2 ACHR)</w:t>
      </w:r>
      <w:bookmarkEnd w:id="44"/>
    </w:p>
    <w:p w14:paraId="106C132D" w14:textId="1DB0C869" w:rsidR="00F642A4" w:rsidRPr="00EA796A" w:rsidRDefault="00BE3A14" w:rsidP="00EF5B4E">
      <w:pPr>
        <w:pStyle w:val="Heading5"/>
        <w:rPr>
          <w:color w:val="000000" w:themeColor="text1"/>
          <w:szCs w:val="24"/>
        </w:rPr>
      </w:pPr>
      <w:bookmarkStart w:id="45" w:name="_Toc287779533"/>
      <w:bookmarkStart w:id="46" w:name="_Toc287780511"/>
      <w:bookmarkStart w:id="47" w:name="_Toc414047145"/>
      <w:bookmarkStart w:id="48" w:name="_Toc288551023"/>
      <w:bookmarkStart w:id="49" w:name="_Toc288789556"/>
      <w:r w:rsidRPr="00EA796A">
        <w:rPr>
          <w:color w:val="000000" w:themeColor="text1"/>
          <w:szCs w:val="24"/>
        </w:rPr>
        <w:t xml:space="preserve">There was no </w:t>
      </w:r>
      <w:bookmarkEnd w:id="45"/>
      <w:r w:rsidRPr="00EA796A">
        <w:rPr>
          <w:color w:val="000000" w:themeColor="text1"/>
          <w:szCs w:val="24"/>
        </w:rPr>
        <w:t>forced disappearance with respect to Mr. Bolt</w:t>
      </w:r>
      <w:bookmarkEnd w:id="46"/>
      <w:bookmarkEnd w:id="47"/>
      <w:bookmarkEnd w:id="48"/>
      <w:bookmarkEnd w:id="49"/>
      <w:r w:rsidR="009E6AB7" w:rsidRPr="00EA796A">
        <w:rPr>
          <w:color w:val="000000" w:themeColor="text1"/>
          <w:szCs w:val="24"/>
        </w:rPr>
        <w:t xml:space="preserve"> </w:t>
      </w:r>
    </w:p>
    <w:p w14:paraId="171C21A9" w14:textId="0DFD260F" w:rsidR="0005431B" w:rsidRPr="00EA796A" w:rsidRDefault="0022391A" w:rsidP="00EF5B4E">
      <w:pPr>
        <w:spacing w:after="0"/>
        <w:rPr>
          <w:rFonts w:cs="Times New Roman"/>
          <w:color w:val="000000" w:themeColor="text1"/>
          <w:szCs w:val="24"/>
          <w:lang w:val="en-US"/>
        </w:rPr>
      </w:pPr>
      <w:bookmarkStart w:id="50" w:name="_Toc287779534"/>
      <w:bookmarkStart w:id="51" w:name="_Toc287780512"/>
      <w:bookmarkStart w:id="52" w:name="_Toc414047146"/>
      <w:r w:rsidRPr="00EA796A">
        <w:rPr>
          <w:rFonts w:cs="Times New Roman"/>
          <w:color w:val="000000" w:themeColor="text1"/>
          <w:szCs w:val="24"/>
          <w:lang w:val="en-US"/>
        </w:rPr>
        <w:t xml:space="preserve">Mr. </w:t>
      </w:r>
      <w:r w:rsidR="0005431B" w:rsidRPr="00EA796A">
        <w:rPr>
          <w:rFonts w:cs="Times New Roman"/>
          <w:color w:val="000000" w:themeColor="text1"/>
          <w:szCs w:val="24"/>
          <w:lang w:val="en-US"/>
        </w:rPr>
        <w:t>Bolt did not become the victim of a forced disappearance, since his fate does not fit the definition given by both the Court’s case law</w:t>
      </w:r>
      <w:r w:rsidR="0005431B" w:rsidRPr="00EA796A">
        <w:rPr>
          <w:rStyle w:val="FootnoteReference"/>
          <w:rFonts w:cs="Times New Roman"/>
          <w:color w:val="000000" w:themeColor="text1"/>
          <w:szCs w:val="24"/>
          <w:lang w:val="en-GB"/>
        </w:rPr>
        <w:footnoteReference w:id="81"/>
      </w:r>
      <w:r w:rsidR="0005431B" w:rsidRPr="00EA796A">
        <w:rPr>
          <w:rFonts w:cs="Times New Roman"/>
          <w:color w:val="000000" w:themeColor="text1"/>
          <w:szCs w:val="24"/>
          <w:lang w:val="en-US"/>
        </w:rPr>
        <w:t xml:space="preserve"> and </w:t>
      </w:r>
      <w:r w:rsidRPr="00EA796A">
        <w:rPr>
          <w:rFonts w:cs="Times New Roman"/>
          <w:color w:val="000000" w:themeColor="text1"/>
          <w:szCs w:val="24"/>
          <w:lang w:val="en-US"/>
        </w:rPr>
        <w:t xml:space="preserve">the </w:t>
      </w:r>
      <w:r w:rsidR="008740AF" w:rsidRPr="00EA796A">
        <w:rPr>
          <w:rFonts w:cs="Times New Roman"/>
          <w:color w:val="000000" w:themeColor="text1"/>
          <w:szCs w:val="24"/>
          <w:lang w:val="en-US"/>
        </w:rPr>
        <w:t>IACFD</w:t>
      </w:r>
      <w:r w:rsidR="0005431B" w:rsidRPr="00EA796A">
        <w:rPr>
          <w:rStyle w:val="FootnoteReference"/>
          <w:rFonts w:cs="Times New Roman"/>
          <w:color w:val="000000" w:themeColor="text1"/>
          <w:szCs w:val="24"/>
          <w:lang w:val="en-US"/>
        </w:rPr>
        <w:footnoteReference w:id="82"/>
      </w:r>
      <w:r w:rsidR="0005431B" w:rsidRPr="00EA796A">
        <w:rPr>
          <w:rFonts w:cs="Times New Roman"/>
          <w:color w:val="000000" w:themeColor="text1"/>
          <w:szCs w:val="24"/>
          <w:lang w:val="en-US"/>
        </w:rPr>
        <w:t xml:space="preserve">. This definition contains the following elements: </w:t>
      </w:r>
      <w:r w:rsidR="0005431B" w:rsidRPr="00EA796A">
        <w:rPr>
          <w:rFonts w:cs="Times New Roman"/>
          <w:i/>
          <w:color w:val="000000" w:themeColor="text1"/>
          <w:szCs w:val="24"/>
          <w:lang w:val="en-US"/>
        </w:rPr>
        <w:t>(i)</w:t>
      </w:r>
      <w:r w:rsidR="0005431B" w:rsidRPr="00EA796A">
        <w:rPr>
          <w:rFonts w:cs="Times New Roman"/>
          <w:color w:val="000000" w:themeColor="text1"/>
          <w:szCs w:val="24"/>
          <w:lang w:val="en-US"/>
        </w:rPr>
        <w:t xml:space="preserve"> the deprivation of liberty, with </w:t>
      </w:r>
      <w:r w:rsidR="0005431B" w:rsidRPr="00EA796A">
        <w:rPr>
          <w:rFonts w:cs="Times New Roman"/>
          <w:i/>
          <w:color w:val="000000" w:themeColor="text1"/>
          <w:szCs w:val="24"/>
          <w:lang w:val="en-US"/>
        </w:rPr>
        <w:t>(ii)</w:t>
      </w:r>
      <w:r w:rsidR="0005431B" w:rsidRPr="00EA796A">
        <w:rPr>
          <w:rFonts w:cs="Times New Roman"/>
          <w:color w:val="000000" w:themeColor="text1"/>
          <w:szCs w:val="24"/>
          <w:lang w:val="en-US"/>
        </w:rPr>
        <w:t xml:space="preserve"> direct involvement of or acquiescence of governmental officials and </w:t>
      </w:r>
      <w:r w:rsidR="0005431B" w:rsidRPr="00EA796A">
        <w:rPr>
          <w:rFonts w:cs="Times New Roman"/>
          <w:i/>
          <w:color w:val="000000" w:themeColor="text1"/>
          <w:szCs w:val="24"/>
          <w:lang w:val="en-US"/>
        </w:rPr>
        <w:t>(iii)</w:t>
      </w:r>
      <w:r w:rsidR="0005431B" w:rsidRPr="00EA796A">
        <w:rPr>
          <w:rFonts w:cs="Times New Roman"/>
          <w:color w:val="000000" w:themeColor="text1"/>
          <w:szCs w:val="24"/>
          <w:lang w:val="en-US"/>
        </w:rPr>
        <w:t xml:space="preserve"> </w:t>
      </w:r>
      <w:r w:rsidR="002E7B70" w:rsidRPr="00EA796A">
        <w:rPr>
          <w:rFonts w:cs="Times New Roman"/>
          <w:color w:val="000000" w:themeColor="text1"/>
          <w:szCs w:val="24"/>
          <w:lang w:val="en-US"/>
        </w:rPr>
        <w:t>a refusal of the s</w:t>
      </w:r>
      <w:r w:rsidR="0005431B" w:rsidRPr="00EA796A">
        <w:rPr>
          <w:rFonts w:cs="Times New Roman"/>
          <w:color w:val="000000" w:themeColor="text1"/>
          <w:szCs w:val="24"/>
          <w:lang w:val="en-US"/>
        </w:rPr>
        <w:t>tate to acknowledge this deprivation of liberty or to disclose the fate or whereabouts of the person(s) concerned.</w:t>
      </w:r>
    </w:p>
    <w:p w14:paraId="2D441CF9" w14:textId="5B5EFFF4" w:rsidR="0005431B" w:rsidRPr="00EA796A" w:rsidRDefault="0005431B" w:rsidP="00EF5B4E">
      <w:pPr>
        <w:spacing w:after="0"/>
        <w:rPr>
          <w:rFonts w:cs="Times New Roman"/>
          <w:color w:val="000000" w:themeColor="text1"/>
          <w:szCs w:val="24"/>
          <w:lang w:val="en-US"/>
        </w:rPr>
      </w:pPr>
      <w:r w:rsidRPr="00EA796A">
        <w:rPr>
          <w:rFonts w:cs="Times New Roman"/>
          <w:color w:val="000000" w:themeColor="text1"/>
          <w:szCs w:val="24"/>
          <w:lang w:val="en-US"/>
        </w:rPr>
        <w:t xml:space="preserve">There is no evidence that the alleged disappearance of </w:t>
      </w:r>
      <w:r w:rsidR="0022391A" w:rsidRPr="00EA796A">
        <w:rPr>
          <w:rFonts w:cs="Times New Roman"/>
          <w:color w:val="000000" w:themeColor="text1"/>
          <w:szCs w:val="24"/>
          <w:lang w:val="en-US"/>
        </w:rPr>
        <w:t xml:space="preserve">Mr. </w:t>
      </w:r>
      <w:r w:rsidRPr="00EA796A">
        <w:rPr>
          <w:rFonts w:cs="Times New Roman"/>
          <w:color w:val="000000" w:themeColor="text1"/>
          <w:szCs w:val="24"/>
          <w:lang w:val="en-US"/>
        </w:rPr>
        <w:t xml:space="preserve">Bolt occurred with the direct involvement or acquiescence of the State even though the State did everything in its power to </w:t>
      </w:r>
      <w:r w:rsidR="0022391A" w:rsidRPr="00EA796A">
        <w:rPr>
          <w:rFonts w:cs="Times New Roman"/>
          <w:color w:val="000000" w:themeColor="text1"/>
          <w:szCs w:val="24"/>
          <w:lang w:val="en-US"/>
        </w:rPr>
        <w:t>investigate</w:t>
      </w:r>
      <w:r w:rsidRPr="00EA796A">
        <w:rPr>
          <w:rFonts w:cs="Times New Roman"/>
          <w:color w:val="000000" w:themeColor="text1"/>
          <w:szCs w:val="24"/>
          <w:lang w:val="en-US"/>
        </w:rPr>
        <w:t>, as will be discussed under the part referring to the State’s positive obligations.</w:t>
      </w:r>
      <w:r w:rsidRPr="00EA796A">
        <w:rPr>
          <w:rStyle w:val="FootnoteReference"/>
          <w:rFonts w:cs="Times New Roman"/>
          <w:color w:val="000000" w:themeColor="text1"/>
          <w:szCs w:val="24"/>
          <w:lang w:val="en-US"/>
        </w:rPr>
        <w:footnoteReference w:id="83"/>
      </w:r>
      <w:r w:rsidRPr="00EA796A">
        <w:rPr>
          <w:rFonts w:cs="Times New Roman"/>
          <w:color w:val="000000" w:themeColor="text1"/>
          <w:szCs w:val="24"/>
          <w:lang w:val="bg-BG"/>
        </w:rPr>
        <w:t xml:space="preserve"> </w:t>
      </w:r>
      <w:r w:rsidRPr="00EA796A">
        <w:rPr>
          <w:rFonts w:cs="Times New Roman"/>
          <w:color w:val="000000" w:themeColor="text1"/>
          <w:szCs w:val="24"/>
          <w:lang w:val="en-US"/>
        </w:rPr>
        <w:t>This Court has held that in cases of forced disappearances the burd</w:t>
      </w:r>
      <w:r w:rsidR="002E7B70" w:rsidRPr="00EA796A">
        <w:rPr>
          <w:rFonts w:cs="Times New Roman"/>
          <w:color w:val="000000" w:themeColor="text1"/>
          <w:szCs w:val="24"/>
          <w:lang w:val="en-US"/>
        </w:rPr>
        <w:t>en of proof shifts towards the s</w:t>
      </w:r>
      <w:r w:rsidRPr="00EA796A">
        <w:rPr>
          <w:rFonts w:cs="Times New Roman"/>
          <w:color w:val="000000" w:themeColor="text1"/>
          <w:szCs w:val="24"/>
          <w:lang w:val="en-US"/>
        </w:rPr>
        <w:t>tate when there is evidence that can su</w:t>
      </w:r>
      <w:r w:rsidR="0022391A" w:rsidRPr="00EA796A">
        <w:rPr>
          <w:rFonts w:cs="Times New Roman"/>
          <w:color w:val="000000" w:themeColor="text1"/>
          <w:szCs w:val="24"/>
          <w:lang w:val="en-US"/>
        </w:rPr>
        <w:t>pport the allegations, because s</w:t>
      </w:r>
      <w:r w:rsidRPr="00EA796A">
        <w:rPr>
          <w:rFonts w:cs="Times New Roman"/>
          <w:color w:val="000000" w:themeColor="text1"/>
          <w:szCs w:val="24"/>
          <w:lang w:val="en-US"/>
        </w:rPr>
        <w:t>tates are considered to control the means to clarify whether this fact has occurred.</w:t>
      </w:r>
      <w:r w:rsidRPr="00EA796A">
        <w:rPr>
          <w:rStyle w:val="FootnoteReference"/>
          <w:rFonts w:cs="Times New Roman"/>
          <w:color w:val="000000" w:themeColor="text1"/>
          <w:szCs w:val="24"/>
          <w:lang w:val="en-GB"/>
        </w:rPr>
        <w:footnoteReference w:id="84"/>
      </w:r>
      <w:r w:rsidRPr="00EA796A">
        <w:rPr>
          <w:rFonts w:cs="Times New Roman"/>
          <w:color w:val="000000" w:themeColor="text1"/>
          <w:szCs w:val="24"/>
          <w:lang w:val="en-US"/>
        </w:rPr>
        <w:t xml:space="preserve"> However, in the instant case the burden of proof </w:t>
      </w:r>
      <w:r w:rsidR="0022391A" w:rsidRPr="00EA796A">
        <w:rPr>
          <w:rFonts w:cs="Times New Roman"/>
          <w:color w:val="000000" w:themeColor="text1"/>
          <w:szCs w:val="24"/>
          <w:lang w:val="en-US"/>
        </w:rPr>
        <w:t>can</w:t>
      </w:r>
      <w:r w:rsidRPr="00EA796A">
        <w:rPr>
          <w:rFonts w:cs="Times New Roman"/>
          <w:color w:val="000000" w:themeColor="text1"/>
          <w:szCs w:val="24"/>
          <w:lang w:val="en-US"/>
        </w:rPr>
        <w:t>not shift toward the State. In defining when the burden of proof shifts, the Court has developed a two-step test.</w:t>
      </w:r>
      <w:r w:rsidRPr="00EA796A">
        <w:rPr>
          <w:rStyle w:val="FootnoteReference"/>
          <w:rFonts w:cs="Times New Roman"/>
          <w:color w:val="000000" w:themeColor="text1"/>
          <w:szCs w:val="24"/>
          <w:lang w:val="en-US"/>
        </w:rPr>
        <w:footnoteReference w:id="85"/>
      </w:r>
      <w:r w:rsidRPr="00EA796A">
        <w:rPr>
          <w:rFonts w:cs="Times New Roman"/>
          <w:color w:val="000000" w:themeColor="text1"/>
          <w:szCs w:val="24"/>
          <w:lang w:val="en-US"/>
        </w:rPr>
        <w:t xml:space="preserve"> Firstly, the party alleging a violation has to prove that there has been a state practice of disappearances or that</w:t>
      </w:r>
      <w:r w:rsidR="0022391A" w:rsidRPr="00EA796A">
        <w:rPr>
          <w:rFonts w:cs="Times New Roman"/>
          <w:color w:val="000000" w:themeColor="text1"/>
          <w:szCs w:val="24"/>
          <w:lang w:val="en-US"/>
        </w:rPr>
        <w:t xml:space="preserve"> the state </w:t>
      </w:r>
      <w:r w:rsidRPr="00EA796A">
        <w:rPr>
          <w:rFonts w:cs="Times New Roman"/>
          <w:color w:val="000000" w:themeColor="text1"/>
          <w:szCs w:val="24"/>
          <w:lang w:val="en-US"/>
        </w:rPr>
        <w:t xml:space="preserve">has at least tolerated such a practice. In </w:t>
      </w:r>
      <w:r w:rsidR="0022391A" w:rsidRPr="00EA796A">
        <w:rPr>
          <w:rFonts w:cs="Times New Roman"/>
          <w:color w:val="000000" w:themeColor="text1"/>
          <w:szCs w:val="24"/>
          <w:lang w:val="en-US"/>
        </w:rPr>
        <w:t>this</w:t>
      </w:r>
      <w:r w:rsidRPr="00EA796A">
        <w:rPr>
          <w:rFonts w:cs="Times New Roman"/>
          <w:color w:val="000000" w:themeColor="text1"/>
          <w:szCs w:val="24"/>
          <w:lang w:val="en-US"/>
        </w:rPr>
        <w:t xml:space="preserve"> case there </w:t>
      </w:r>
      <w:r w:rsidR="0022391A" w:rsidRPr="00EA796A">
        <w:rPr>
          <w:rFonts w:cs="Times New Roman"/>
          <w:color w:val="000000" w:themeColor="text1"/>
          <w:szCs w:val="24"/>
          <w:lang w:val="en-US"/>
        </w:rPr>
        <w:t>has</w:t>
      </w:r>
      <w:r w:rsidRPr="00EA796A">
        <w:rPr>
          <w:rFonts w:cs="Times New Roman"/>
          <w:color w:val="000000" w:themeColor="text1"/>
          <w:szCs w:val="24"/>
          <w:lang w:val="en-US"/>
        </w:rPr>
        <w:t xml:space="preserve"> not been any recent state practice of forced disappearances. Consequently, the </w:t>
      </w:r>
      <w:r w:rsidRPr="00EA796A">
        <w:rPr>
          <w:rFonts w:cs="Times New Roman"/>
          <w:color w:val="000000" w:themeColor="text1"/>
          <w:szCs w:val="24"/>
          <w:lang w:val="en-US"/>
        </w:rPr>
        <w:lastRenderedPageBreak/>
        <w:t>second step of the test, which states that the applicant has to establish a link between the practice and the particular case, automatically cannot be fulfilled. The disappearances in the past</w:t>
      </w:r>
      <w:r w:rsidRPr="00EA796A">
        <w:rPr>
          <w:rStyle w:val="FootnoteReference"/>
          <w:rFonts w:cs="Times New Roman"/>
          <w:color w:val="000000" w:themeColor="text1"/>
          <w:szCs w:val="24"/>
          <w:lang w:val="en-US"/>
        </w:rPr>
        <w:footnoteReference w:id="86"/>
      </w:r>
      <w:r w:rsidRPr="00EA796A">
        <w:rPr>
          <w:rFonts w:cs="Times New Roman"/>
          <w:color w:val="000000" w:themeColor="text1"/>
          <w:szCs w:val="24"/>
          <w:lang w:val="en-US"/>
        </w:rPr>
        <w:t xml:space="preserve"> should not be taken into account, since these were not related. Therefore, the burden of proof does not shift to the State and it is up to the applicants to prove that Mr. Bolt was forcibly disappeared. In line with the foregoing, the State negates the allegations of direct state responsibility. Originally, in 2007 the CoS ruled against such a claim by Mrs. Bolt. The compensation awarded after the investigation conducted by the HTC</w:t>
      </w:r>
      <w:r w:rsidRPr="00EA796A">
        <w:rPr>
          <w:rStyle w:val="FootnoteReference"/>
          <w:rFonts w:cs="Times New Roman"/>
          <w:color w:val="000000" w:themeColor="text1"/>
          <w:szCs w:val="24"/>
          <w:lang w:val="en-GB"/>
        </w:rPr>
        <w:footnoteReference w:id="87"/>
      </w:r>
      <w:r w:rsidRPr="00EA796A">
        <w:rPr>
          <w:rFonts w:cs="Times New Roman"/>
          <w:color w:val="000000" w:themeColor="text1"/>
          <w:szCs w:val="24"/>
          <w:lang w:val="en-US"/>
        </w:rPr>
        <w:t xml:space="preserve"> cannot b</w:t>
      </w:r>
      <w:r w:rsidR="0022391A" w:rsidRPr="00EA796A">
        <w:rPr>
          <w:rFonts w:cs="Times New Roman"/>
          <w:color w:val="000000" w:themeColor="text1"/>
          <w:szCs w:val="24"/>
          <w:lang w:val="en-US"/>
        </w:rPr>
        <w:t>e seen as an admittance of the S</w:t>
      </w:r>
      <w:r w:rsidRPr="00EA796A">
        <w:rPr>
          <w:rFonts w:cs="Times New Roman"/>
          <w:color w:val="000000" w:themeColor="text1"/>
          <w:szCs w:val="24"/>
          <w:lang w:val="en-US"/>
        </w:rPr>
        <w:t>tate’s responsibility for two reasons. Firstly, the facts of the case do not state the motives behind the awarding of this compensation by the CoS. Consequently, it has not been asserted that any responsibility was explicitly recognized.</w:t>
      </w:r>
      <w:r w:rsidRPr="00EA796A">
        <w:rPr>
          <w:rStyle w:val="FootnoteReference"/>
          <w:rFonts w:cs="Times New Roman"/>
          <w:color w:val="000000" w:themeColor="text1"/>
          <w:szCs w:val="24"/>
          <w:lang w:val="en-GB"/>
        </w:rPr>
        <w:footnoteReference w:id="88"/>
      </w:r>
      <w:r w:rsidRPr="00EA796A">
        <w:rPr>
          <w:rFonts w:cs="Times New Roman"/>
          <w:color w:val="000000" w:themeColor="text1"/>
          <w:szCs w:val="24"/>
          <w:lang w:val="en-US"/>
        </w:rPr>
        <w:t xml:space="preserve"> Secondly, the CoS based itself on the HTC’s findings. However, these were based on Mr. Mukundi’s allegations, which have not been proven to be true. Two different instances had already not accepted Mr. Mukundi’s allegations – namely, the Public Ministry</w:t>
      </w:r>
      <w:r w:rsidRPr="00EA796A">
        <w:rPr>
          <w:rStyle w:val="FootnoteReference"/>
          <w:rFonts w:cs="Times New Roman"/>
          <w:color w:val="000000" w:themeColor="text1"/>
          <w:szCs w:val="24"/>
          <w:lang w:val="en-GB"/>
        </w:rPr>
        <w:footnoteReference w:id="89"/>
      </w:r>
      <w:r w:rsidRPr="00EA796A">
        <w:rPr>
          <w:rFonts w:cs="Times New Roman"/>
          <w:color w:val="000000" w:themeColor="text1"/>
          <w:szCs w:val="24"/>
          <w:lang w:val="en-US"/>
        </w:rPr>
        <w:t xml:space="preserve"> and the CoS</w:t>
      </w:r>
      <w:r w:rsidRPr="00EA796A">
        <w:rPr>
          <w:rStyle w:val="FootnoteReference"/>
          <w:rFonts w:cs="Times New Roman"/>
          <w:color w:val="000000" w:themeColor="text1"/>
          <w:szCs w:val="24"/>
          <w:lang w:val="en-GB"/>
        </w:rPr>
        <w:footnoteReference w:id="90"/>
      </w:r>
      <w:r w:rsidR="0022391A" w:rsidRPr="00EA796A">
        <w:rPr>
          <w:rFonts w:cs="Times New Roman"/>
          <w:color w:val="000000" w:themeColor="text1"/>
          <w:szCs w:val="24"/>
          <w:lang w:val="en-US"/>
        </w:rPr>
        <w:t xml:space="preserve"> – </w:t>
      </w:r>
      <w:r w:rsidRPr="00EA796A">
        <w:rPr>
          <w:rFonts w:cs="Times New Roman"/>
          <w:color w:val="000000" w:themeColor="text1"/>
          <w:szCs w:val="24"/>
          <w:lang w:val="en-US"/>
        </w:rPr>
        <w:t>prior to the HTC’s findings. Mr. Mukundi’s allegation of torture was not supported by any physical evidence.</w:t>
      </w:r>
      <w:r w:rsidRPr="00EA796A">
        <w:rPr>
          <w:rStyle w:val="FootnoteReference"/>
          <w:rFonts w:cs="Times New Roman"/>
          <w:color w:val="000000" w:themeColor="text1"/>
          <w:szCs w:val="24"/>
          <w:lang w:val="en-GB"/>
        </w:rPr>
        <w:footnoteReference w:id="91"/>
      </w:r>
      <w:r w:rsidRPr="00EA796A">
        <w:rPr>
          <w:rFonts w:cs="Times New Roman"/>
          <w:color w:val="000000" w:themeColor="text1"/>
          <w:szCs w:val="24"/>
          <w:lang w:val="en-US"/>
        </w:rPr>
        <w:t xml:space="preserve"> Therefore, no definite proof of torture can be established. Consequently, his allegations about the disappearance of Mr. Bolt should not be viewed as proof either. Direct state involvement or acquiescence of the State in the disappearance has accordingly not been proven. Even if the Court deems that there has been state involvement, it should still be taken into account that the State has sufficiently addressed this alleged violation domestically, as will be discussed in the next section. </w:t>
      </w:r>
    </w:p>
    <w:p w14:paraId="2918485C" w14:textId="49009DEB" w:rsidR="0005431B" w:rsidRPr="00EA796A" w:rsidRDefault="0005431B" w:rsidP="00EF5B4E">
      <w:pPr>
        <w:spacing w:after="0"/>
        <w:rPr>
          <w:rFonts w:cs="Times New Roman"/>
          <w:color w:val="000000" w:themeColor="text1"/>
          <w:szCs w:val="24"/>
          <w:lang w:val="bg-BG"/>
        </w:rPr>
      </w:pPr>
      <w:r w:rsidRPr="00EA796A">
        <w:rPr>
          <w:rFonts w:cs="Times New Roman"/>
          <w:color w:val="000000" w:themeColor="text1"/>
          <w:szCs w:val="24"/>
          <w:lang w:val="en-US"/>
        </w:rPr>
        <w:lastRenderedPageBreak/>
        <w:t>According to the Court’s case law</w:t>
      </w:r>
      <w:r w:rsidRPr="00EA796A">
        <w:rPr>
          <w:rStyle w:val="FootnoteReference"/>
          <w:rFonts w:cs="Times New Roman"/>
          <w:color w:val="000000" w:themeColor="text1"/>
          <w:szCs w:val="24"/>
          <w:lang w:val="en-GB"/>
        </w:rPr>
        <w:footnoteReference w:id="92"/>
      </w:r>
      <w:r w:rsidRPr="00EA796A">
        <w:rPr>
          <w:rFonts w:cs="Times New Roman"/>
          <w:color w:val="000000" w:themeColor="text1"/>
          <w:szCs w:val="24"/>
          <w:lang w:val="en-US"/>
        </w:rPr>
        <w:t>, the offense of forced disappearance often involves violations of the right to judicial personality (Art.</w:t>
      </w:r>
      <w:r w:rsidR="009219CF" w:rsidRPr="00EA796A">
        <w:rPr>
          <w:rFonts w:cs="Times New Roman"/>
          <w:color w:val="000000" w:themeColor="text1"/>
          <w:szCs w:val="24"/>
          <w:lang w:val="en-US"/>
        </w:rPr>
        <w:t xml:space="preserve"> </w:t>
      </w:r>
      <w:r w:rsidRPr="00EA796A">
        <w:rPr>
          <w:rFonts w:cs="Times New Roman"/>
          <w:color w:val="000000" w:themeColor="text1"/>
          <w:szCs w:val="24"/>
          <w:lang w:val="en-US"/>
        </w:rPr>
        <w:t>3</w:t>
      </w:r>
      <w:r w:rsidR="009219CF" w:rsidRPr="00EA796A">
        <w:rPr>
          <w:rFonts w:cs="Times New Roman"/>
          <w:color w:val="000000" w:themeColor="text1"/>
          <w:szCs w:val="24"/>
          <w:lang w:val="en-US"/>
        </w:rPr>
        <w:t xml:space="preserve"> ACHR</w:t>
      </w:r>
      <w:r w:rsidRPr="00EA796A">
        <w:rPr>
          <w:rFonts w:cs="Times New Roman"/>
          <w:color w:val="000000" w:themeColor="text1"/>
          <w:szCs w:val="24"/>
          <w:lang w:val="en-US"/>
        </w:rPr>
        <w:t>), to life (Art. 4</w:t>
      </w:r>
      <w:r w:rsidR="009219CF" w:rsidRPr="00EA796A">
        <w:rPr>
          <w:rFonts w:cs="Times New Roman"/>
          <w:color w:val="000000" w:themeColor="text1"/>
          <w:szCs w:val="24"/>
          <w:lang w:val="en-US"/>
        </w:rPr>
        <w:t>(1) ACHR</w:t>
      </w:r>
      <w:r w:rsidRPr="00EA796A">
        <w:rPr>
          <w:rFonts w:cs="Times New Roman"/>
          <w:color w:val="000000" w:themeColor="text1"/>
          <w:szCs w:val="24"/>
          <w:lang w:val="en-US"/>
        </w:rPr>
        <w:t>), to personal integrity (Art.</w:t>
      </w:r>
      <w:r w:rsidR="009219CF" w:rsidRPr="00EA796A">
        <w:rPr>
          <w:rFonts w:cs="Times New Roman"/>
          <w:color w:val="000000" w:themeColor="text1"/>
          <w:szCs w:val="24"/>
          <w:lang w:val="en-US"/>
        </w:rPr>
        <w:t xml:space="preserve"> </w:t>
      </w:r>
      <w:r w:rsidRPr="00EA796A">
        <w:rPr>
          <w:rFonts w:cs="Times New Roman"/>
          <w:color w:val="000000" w:themeColor="text1"/>
          <w:szCs w:val="24"/>
          <w:lang w:val="en-US"/>
        </w:rPr>
        <w:t>5</w:t>
      </w:r>
      <w:r w:rsidR="009219CF" w:rsidRPr="00EA796A">
        <w:rPr>
          <w:rFonts w:cs="Times New Roman"/>
          <w:color w:val="000000" w:themeColor="text1"/>
          <w:szCs w:val="24"/>
          <w:lang w:val="en-US"/>
        </w:rPr>
        <w:t>(1) ACHR</w:t>
      </w:r>
      <w:r w:rsidRPr="00EA796A">
        <w:rPr>
          <w:rFonts w:cs="Times New Roman"/>
          <w:color w:val="000000" w:themeColor="text1"/>
          <w:szCs w:val="24"/>
          <w:lang w:val="en-US"/>
        </w:rPr>
        <w:t>) and to personal liberty (Art.7</w:t>
      </w:r>
      <w:r w:rsidR="0022391A" w:rsidRPr="00EA796A">
        <w:rPr>
          <w:rFonts w:cs="Times New Roman"/>
          <w:color w:val="000000" w:themeColor="text1"/>
          <w:szCs w:val="24"/>
          <w:lang w:val="en-US"/>
        </w:rPr>
        <w:t>(1), 7(2) and 7(5)</w:t>
      </w:r>
      <w:r w:rsidR="009219CF" w:rsidRPr="00EA796A">
        <w:rPr>
          <w:rFonts w:cs="Times New Roman"/>
          <w:color w:val="000000" w:themeColor="text1"/>
          <w:szCs w:val="24"/>
          <w:lang w:val="en-US"/>
        </w:rPr>
        <w:t xml:space="preserve"> ACHR</w:t>
      </w:r>
      <w:r w:rsidRPr="00EA796A">
        <w:rPr>
          <w:rFonts w:cs="Times New Roman"/>
          <w:color w:val="000000" w:themeColor="text1"/>
          <w:szCs w:val="24"/>
          <w:lang w:val="en-US"/>
        </w:rPr>
        <w:t>). Firstly, The Court has held that the forced disappearance of persons is a violation of Art. 7</w:t>
      </w:r>
      <w:r w:rsidRPr="00EA796A">
        <w:rPr>
          <w:rFonts w:cs="Times New Roman"/>
          <w:color w:val="000000" w:themeColor="text1"/>
          <w:szCs w:val="24"/>
          <w:lang w:val="bg-BG"/>
        </w:rPr>
        <w:t xml:space="preserve"> </w:t>
      </w:r>
      <w:r w:rsidRPr="00EA796A">
        <w:rPr>
          <w:rFonts w:cs="Times New Roman"/>
          <w:color w:val="000000" w:themeColor="text1"/>
          <w:szCs w:val="24"/>
          <w:lang w:val="en-US"/>
        </w:rPr>
        <w:t>ACHR.</w:t>
      </w:r>
      <w:r w:rsidRPr="00EA796A">
        <w:rPr>
          <w:rStyle w:val="FootnoteReference"/>
          <w:rFonts w:cs="Times New Roman"/>
          <w:color w:val="000000" w:themeColor="text1"/>
          <w:szCs w:val="24"/>
          <w:lang w:val="en-US"/>
        </w:rPr>
        <w:footnoteReference w:id="93"/>
      </w:r>
      <w:r w:rsidRPr="00EA796A">
        <w:rPr>
          <w:rFonts w:cs="Times New Roman"/>
          <w:color w:val="000000" w:themeColor="text1"/>
          <w:szCs w:val="24"/>
          <w:lang w:val="en-US"/>
        </w:rPr>
        <w:t xml:space="preserve"> Secondly, prolonged isolation and the deprivation of liberty are in themselves cruel and inhuman treatment</w:t>
      </w:r>
      <w:r w:rsidRPr="00EA796A">
        <w:rPr>
          <w:rFonts w:cs="Times New Roman"/>
          <w:color w:val="000000" w:themeColor="text1"/>
          <w:szCs w:val="24"/>
          <w:lang w:val="bg-BG"/>
        </w:rPr>
        <w:t xml:space="preserve"> </w:t>
      </w:r>
      <w:r w:rsidRPr="00EA796A">
        <w:rPr>
          <w:rFonts w:cs="Times New Roman"/>
          <w:color w:val="000000" w:themeColor="text1"/>
          <w:szCs w:val="24"/>
          <w:lang w:val="en-US"/>
        </w:rPr>
        <w:t>and constitute a violation of Art. 5</w:t>
      </w:r>
      <w:r w:rsidR="00FF1411" w:rsidRPr="00EA796A">
        <w:rPr>
          <w:rFonts w:cs="Times New Roman"/>
          <w:color w:val="000000" w:themeColor="text1"/>
          <w:szCs w:val="24"/>
          <w:lang w:val="en-US"/>
        </w:rPr>
        <w:t>(1)</w:t>
      </w:r>
      <w:r w:rsidRPr="00EA796A">
        <w:rPr>
          <w:rFonts w:cs="Times New Roman"/>
          <w:color w:val="000000" w:themeColor="text1"/>
          <w:szCs w:val="24"/>
          <w:lang w:val="en-US"/>
        </w:rPr>
        <w:t xml:space="preserve"> ACHR.</w:t>
      </w:r>
      <w:r w:rsidRPr="00EA796A">
        <w:rPr>
          <w:rStyle w:val="FootnoteReference"/>
          <w:rFonts w:cs="Times New Roman"/>
          <w:color w:val="000000" w:themeColor="text1"/>
          <w:szCs w:val="24"/>
          <w:lang w:val="en-US"/>
        </w:rPr>
        <w:footnoteReference w:id="94"/>
      </w:r>
      <w:r w:rsidRPr="00EA796A">
        <w:rPr>
          <w:rFonts w:cs="Times New Roman"/>
          <w:color w:val="000000" w:themeColor="text1"/>
          <w:szCs w:val="24"/>
          <w:lang w:val="en-US"/>
        </w:rPr>
        <w:t xml:space="preserve"> Thirdly, it is often considered that the practice of forced disappearances involves secret execution, followed by concealment of the body to eliminate any material evidence, which is a violation of Art. 4</w:t>
      </w:r>
      <w:r w:rsidR="00FF1411" w:rsidRPr="00EA796A">
        <w:rPr>
          <w:rFonts w:cs="Times New Roman"/>
          <w:color w:val="000000" w:themeColor="text1"/>
          <w:szCs w:val="24"/>
          <w:lang w:val="en-US"/>
        </w:rPr>
        <w:t>(1)</w:t>
      </w:r>
      <w:r w:rsidRPr="00EA796A">
        <w:rPr>
          <w:rFonts w:cs="Times New Roman"/>
          <w:color w:val="000000" w:themeColor="text1"/>
          <w:szCs w:val="24"/>
          <w:lang w:val="en-US"/>
        </w:rPr>
        <w:t xml:space="preserve"> ACHR.</w:t>
      </w:r>
      <w:r w:rsidRPr="00EA796A">
        <w:rPr>
          <w:rStyle w:val="FootnoteReference"/>
          <w:rFonts w:cs="Times New Roman"/>
          <w:color w:val="000000" w:themeColor="text1"/>
          <w:szCs w:val="24"/>
          <w:lang w:val="en-US"/>
        </w:rPr>
        <w:footnoteReference w:id="95"/>
      </w:r>
      <w:r w:rsidRPr="00EA796A">
        <w:rPr>
          <w:rFonts w:cs="Times New Roman"/>
          <w:color w:val="000000" w:themeColor="text1"/>
          <w:szCs w:val="24"/>
          <w:lang w:val="en-US"/>
        </w:rPr>
        <w:t xml:space="preserve"> L</w:t>
      </w:r>
      <w:r w:rsidRPr="00EA796A">
        <w:rPr>
          <w:rFonts w:cs="Times New Roman"/>
          <w:color w:val="000000" w:themeColor="text1"/>
          <w:szCs w:val="24"/>
          <w:lang w:val="bg-BG"/>
        </w:rPr>
        <w:t xml:space="preserve">astly, </w:t>
      </w:r>
      <w:r w:rsidRPr="00EA796A">
        <w:rPr>
          <w:rFonts w:cs="Times New Roman"/>
          <w:color w:val="000000" w:themeColor="text1"/>
          <w:szCs w:val="24"/>
          <w:lang w:val="en-US"/>
        </w:rPr>
        <w:t>in its recent case law</w:t>
      </w:r>
      <w:r w:rsidRPr="00EA796A">
        <w:rPr>
          <w:rStyle w:val="FootnoteReference"/>
          <w:rFonts w:cs="Times New Roman"/>
          <w:color w:val="000000" w:themeColor="text1"/>
          <w:szCs w:val="24"/>
          <w:lang w:val="en-US"/>
        </w:rPr>
        <w:footnoteReference w:id="96"/>
      </w:r>
      <w:r w:rsidRPr="00EA796A">
        <w:rPr>
          <w:rFonts w:cs="Times New Roman"/>
          <w:color w:val="000000" w:themeColor="text1"/>
          <w:szCs w:val="24"/>
          <w:lang w:val="en-US"/>
        </w:rPr>
        <w:t xml:space="preserve"> the Court has found that the offence of forced disappearance </w:t>
      </w:r>
      <w:r w:rsidR="00FF1411" w:rsidRPr="00EA796A">
        <w:rPr>
          <w:rFonts w:cs="Times New Roman"/>
          <w:color w:val="000000" w:themeColor="text1"/>
          <w:szCs w:val="24"/>
          <w:lang w:val="en-US"/>
        </w:rPr>
        <w:t xml:space="preserve">also </w:t>
      </w:r>
      <w:r w:rsidRPr="00EA796A">
        <w:rPr>
          <w:rFonts w:cs="Times New Roman"/>
          <w:color w:val="000000" w:themeColor="text1"/>
          <w:szCs w:val="24"/>
          <w:lang w:val="en-US"/>
        </w:rPr>
        <w:t xml:space="preserve">includes a violation of Art. 3 ACHR. </w:t>
      </w:r>
      <w:r w:rsidRPr="00EA796A">
        <w:rPr>
          <w:rFonts w:cs="Times New Roman"/>
          <w:color w:val="000000" w:themeColor="text1"/>
          <w:szCs w:val="24"/>
          <w:lang w:val="en-GB"/>
        </w:rPr>
        <w:t>The Court justified the shift in its case law by referring to the “</w:t>
      </w:r>
      <w:r w:rsidRPr="00EA796A">
        <w:rPr>
          <w:rFonts w:cs="Times New Roman"/>
          <w:i/>
          <w:color w:val="000000" w:themeColor="text1"/>
          <w:szCs w:val="24"/>
          <w:lang w:val="en-GB"/>
        </w:rPr>
        <w:t>evolution of the specific international corpus juris related to the prohibition of forced disappearance</w:t>
      </w:r>
      <w:r w:rsidRPr="00EA796A">
        <w:rPr>
          <w:rFonts w:cs="Times New Roman"/>
          <w:color w:val="000000" w:themeColor="text1"/>
          <w:szCs w:val="24"/>
          <w:lang w:val="en-GB"/>
        </w:rPr>
        <w:t>.”</w:t>
      </w:r>
      <w:r w:rsidRPr="00EA796A">
        <w:rPr>
          <w:rStyle w:val="FootnoteReference"/>
          <w:rFonts w:cs="Times New Roman"/>
          <w:color w:val="000000" w:themeColor="text1"/>
          <w:szCs w:val="24"/>
          <w:lang w:val="en-GB"/>
        </w:rPr>
        <w:footnoteReference w:id="97"/>
      </w:r>
      <w:r w:rsidRPr="00EA796A">
        <w:rPr>
          <w:rFonts w:cs="Times New Roman"/>
          <w:color w:val="000000" w:themeColor="text1"/>
          <w:szCs w:val="24"/>
          <w:lang w:val="en-GB"/>
        </w:rPr>
        <w:t xml:space="preserve"> The violation resulting from an uncertainty regarding juridical personality is only explicitly mentioned in </w:t>
      </w:r>
      <w:r w:rsidR="00465587" w:rsidRPr="00EA796A">
        <w:rPr>
          <w:rFonts w:cs="Times New Roman"/>
          <w:color w:val="000000" w:themeColor="text1"/>
          <w:szCs w:val="24"/>
          <w:lang w:val="en-GB"/>
        </w:rPr>
        <w:t>Art.</w:t>
      </w:r>
      <w:r w:rsidRPr="00EA796A">
        <w:rPr>
          <w:rFonts w:cs="Times New Roman"/>
          <w:color w:val="000000" w:themeColor="text1"/>
          <w:szCs w:val="24"/>
          <w:lang w:val="en-GB"/>
        </w:rPr>
        <w:t xml:space="preserve"> 1(2) of the Declaration </w:t>
      </w:r>
      <w:r w:rsidR="00FF1411" w:rsidRPr="00EA796A">
        <w:rPr>
          <w:rFonts w:cs="Times New Roman"/>
          <w:color w:val="000000" w:themeColor="text1"/>
          <w:szCs w:val="24"/>
          <w:lang w:val="en-GB"/>
        </w:rPr>
        <w:t xml:space="preserve">on </w:t>
      </w:r>
      <w:r w:rsidRPr="00EA796A">
        <w:rPr>
          <w:rFonts w:cs="Times New Roman"/>
          <w:color w:val="000000" w:themeColor="text1"/>
          <w:szCs w:val="24"/>
          <w:lang w:val="en-GB"/>
        </w:rPr>
        <w:t>Forced Disappearance</w:t>
      </w:r>
      <w:r w:rsidRPr="00EA796A">
        <w:rPr>
          <w:rStyle w:val="FootnoteReference"/>
          <w:rFonts w:cs="Times New Roman"/>
          <w:color w:val="000000" w:themeColor="text1"/>
          <w:szCs w:val="24"/>
          <w:lang w:val="en-GB"/>
        </w:rPr>
        <w:footnoteReference w:id="98"/>
      </w:r>
      <w:r w:rsidRPr="00EA796A">
        <w:rPr>
          <w:rFonts w:cs="Times New Roman"/>
          <w:color w:val="000000" w:themeColor="text1"/>
          <w:szCs w:val="24"/>
          <w:lang w:val="en-GB"/>
        </w:rPr>
        <w:t>, which is not a binding document. Moreover, in a Separate Opinion Judge García Ramírez questioned</w:t>
      </w:r>
      <w:r w:rsidRPr="00EA796A">
        <w:rPr>
          <w:rStyle w:val="FootnoteReference"/>
          <w:rFonts w:cs="Times New Roman"/>
          <w:color w:val="000000" w:themeColor="text1"/>
          <w:szCs w:val="24"/>
          <w:lang w:val="en-GB"/>
        </w:rPr>
        <w:footnoteReference w:id="99"/>
      </w:r>
      <w:r w:rsidRPr="00EA796A">
        <w:rPr>
          <w:rFonts w:cs="Times New Roman"/>
          <w:color w:val="000000" w:themeColor="text1"/>
          <w:szCs w:val="24"/>
          <w:lang w:val="en-GB"/>
        </w:rPr>
        <w:t xml:space="preserve"> whether the Court did not mean </w:t>
      </w:r>
      <w:r w:rsidR="008740AF" w:rsidRPr="00EA796A">
        <w:rPr>
          <w:rFonts w:cs="Times New Roman"/>
          <w:i/>
          <w:color w:val="000000" w:themeColor="text1"/>
          <w:szCs w:val="24"/>
          <w:lang w:val="en-GB"/>
        </w:rPr>
        <w:t>“</w:t>
      </w:r>
      <w:r w:rsidRPr="00EA796A">
        <w:rPr>
          <w:rFonts w:cs="Times New Roman"/>
          <w:i/>
          <w:color w:val="000000" w:themeColor="text1"/>
          <w:szCs w:val="24"/>
          <w:lang w:val="en-GB"/>
        </w:rPr>
        <w:t>an extreme and very serious impediment</w:t>
      </w:r>
      <w:r w:rsidR="008740AF" w:rsidRPr="00EA796A">
        <w:rPr>
          <w:rFonts w:cs="Times New Roman"/>
          <w:i/>
          <w:color w:val="000000" w:themeColor="text1"/>
          <w:szCs w:val="24"/>
          <w:lang w:val="en-GB"/>
        </w:rPr>
        <w:t>”</w:t>
      </w:r>
      <w:r w:rsidRPr="00EA796A">
        <w:rPr>
          <w:rFonts w:cs="Times New Roman"/>
          <w:color w:val="000000" w:themeColor="text1"/>
          <w:szCs w:val="24"/>
          <w:lang w:val="en-GB"/>
        </w:rPr>
        <w:t xml:space="preserve"> on human rights and not an actual non-recognition of juridical personality. The application of </w:t>
      </w:r>
      <w:r w:rsidR="00465587" w:rsidRPr="00EA796A">
        <w:rPr>
          <w:rFonts w:cs="Times New Roman"/>
          <w:color w:val="000000" w:themeColor="text1"/>
          <w:szCs w:val="24"/>
          <w:lang w:val="en-GB"/>
        </w:rPr>
        <w:t>Art.</w:t>
      </w:r>
      <w:r w:rsidRPr="00EA796A">
        <w:rPr>
          <w:rFonts w:cs="Times New Roman"/>
          <w:color w:val="000000" w:themeColor="text1"/>
          <w:szCs w:val="24"/>
          <w:lang w:val="en-GB"/>
        </w:rPr>
        <w:t xml:space="preserve"> 3 ACHR is therefore contested</w:t>
      </w:r>
      <w:r w:rsidRPr="00EA796A">
        <w:rPr>
          <w:rFonts w:cs="Times New Roman"/>
          <w:color w:val="000000" w:themeColor="text1"/>
          <w:szCs w:val="24"/>
          <w:lang w:val="bg-BG"/>
        </w:rPr>
        <w:t xml:space="preserve">. </w:t>
      </w:r>
      <w:r w:rsidRPr="00EA796A">
        <w:rPr>
          <w:rFonts w:cs="Times New Roman"/>
          <w:color w:val="000000" w:themeColor="text1"/>
          <w:szCs w:val="24"/>
          <w:lang w:val="en-US"/>
        </w:rPr>
        <w:t xml:space="preserve">However, in the instant case it has not been proven that Mr. Bolt was </w:t>
      </w:r>
      <w:r w:rsidRPr="00EA796A">
        <w:rPr>
          <w:rFonts w:cs="Times New Roman"/>
          <w:color w:val="000000" w:themeColor="text1"/>
          <w:szCs w:val="24"/>
          <w:lang w:val="en-US"/>
        </w:rPr>
        <w:lastRenderedPageBreak/>
        <w:t xml:space="preserve">forcibly disappeared. Therefore, there have been no violations of </w:t>
      </w:r>
      <w:r w:rsidR="00465587" w:rsidRPr="00EA796A">
        <w:rPr>
          <w:rFonts w:cs="Times New Roman"/>
          <w:color w:val="000000" w:themeColor="text1"/>
          <w:szCs w:val="24"/>
          <w:lang w:val="en-US"/>
        </w:rPr>
        <w:t>Art.</w:t>
      </w:r>
      <w:r w:rsidRPr="00EA796A">
        <w:rPr>
          <w:rFonts w:cs="Times New Roman"/>
          <w:color w:val="000000" w:themeColor="text1"/>
          <w:szCs w:val="24"/>
          <w:lang w:val="en-US"/>
        </w:rPr>
        <w:t xml:space="preserve"> 3, 4</w:t>
      </w:r>
      <w:r w:rsidR="00465587" w:rsidRPr="00EA796A">
        <w:rPr>
          <w:rFonts w:cs="Times New Roman"/>
          <w:color w:val="000000" w:themeColor="text1"/>
          <w:szCs w:val="24"/>
          <w:lang w:val="en-US"/>
        </w:rPr>
        <w:t>(1)</w:t>
      </w:r>
      <w:r w:rsidRPr="00EA796A">
        <w:rPr>
          <w:rFonts w:cs="Times New Roman"/>
          <w:color w:val="000000" w:themeColor="text1"/>
          <w:szCs w:val="24"/>
          <w:lang w:val="en-US"/>
        </w:rPr>
        <w:t>, 5</w:t>
      </w:r>
      <w:r w:rsidR="00465587" w:rsidRPr="00EA796A">
        <w:rPr>
          <w:rFonts w:cs="Times New Roman"/>
          <w:color w:val="000000" w:themeColor="text1"/>
          <w:szCs w:val="24"/>
          <w:lang w:val="en-US"/>
        </w:rPr>
        <w:t xml:space="preserve">(1), </w:t>
      </w:r>
      <w:r w:rsidRPr="00EA796A">
        <w:rPr>
          <w:rFonts w:cs="Times New Roman"/>
          <w:color w:val="000000" w:themeColor="text1"/>
          <w:szCs w:val="24"/>
          <w:lang w:val="en-US"/>
        </w:rPr>
        <w:t>7</w:t>
      </w:r>
      <w:r w:rsidR="00465587" w:rsidRPr="00EA796A">
        <w:rPr>
          <w:rFonts w:cs="Times New Roman"/>
          <w:color w:val="000000" w:themeColor="text1"/>
          <w:szCs w:val="24"/>
          <w:lang w:val="en-US"/>
        </w:rPr>
        <w:t xml:space="preserve">(1), 7(2) and 7(5) </w:t>
      </w:r>
      <w:r w:rsidR="00465587" w:rsidRPr="00EA796A">
        <w:rPr>
          <w:rFonts w:cs="Times New Roman"/>
          <w:i/>
          <w:color w:val="000000" w:themeColor="text1"/>
          <w:szCs w:val="24"/>
          <w:lang w:val="en-US"/>
        </w:rPr>
        <w:t xml:space="preserve">juncto </w:t>
      </w:r>
      <w:r w:rsidR="00465587" w:rsidRPr="00EA796A">
        <w:rPr>
          <w:rFonts w:cs="Times New Roman"/>
          <w:color w:val="000000" w:themeColor="text1"/>
          <w:szCs w:val="24"/>
          <w:lang w:val="en-US"/>
        </w:rPr>
        <w:t>1(1) and 2</w:t>
      </w:r>
      <w:r w:rsidRPr="00EA796A">
        <w:rPr>
          <w:rFonts w:cs="Times New Roman"/>
          <w:color w:val="000000" w:themeColor="text1"/>
          <w:szCs w:val="24"/>
          <w:lang w:val="en-US"/>
        </w:rPr>
        <w:t xml:space="preserve"> ACHR.</w:t>
      </w:r>
      <w:r w:rsidRPr="00EA796A">
        <w:rPr>
          <w:rFonts w:cs="Times New Roman"/>
          <w:color w:val="000000" w:themeColor="text1"/>
          <w:szCs w:val="24"/>
          <w:lang w:val="bg-BG"/>
        </w:rPr>
        <w:t xml:space="preserve"> </w:t>
      </w:r>
    </w:p>
    <w:p w14:paraId="340F92CE" w14:textId="5ED903FE" w:rsidR="00BE3A14" w:rsidRPr="00EA796A" w:rsidRDefault="00BE3A14" w:rsidP="00EF5B4E">
      <w:pPr>
        <w:pStyle w:val="Heading5"/>
        <w:rPr>
          <w:color w:val="000000" w:themeColor="text1"/>
          <w:szCs w:val="24"/>
        </w:rPr>
      </w:pPr>
      <w:bookmarkStart w:id="53" w:name="_Toc288551024"/>
      <w:bookmarkStart w:id="54" w:name="_Toc288789557"/>
      <w:r w:rsidRPr="00EA796A">
        <w:rPr>
          <w:color w:val="000000" w:themeColor="text1"/>
          <w:szCs w:val="24"/>
        </w:rPr>
        <w:t xml:space="preserve">The State fulfilled its positive obligations regarding </w:t>
      </w:r>
      <w:bookmarkEnd w:id="50"/>
      <w:r w:rsidR="00DD3C3B" w:rsidRPr="00EA796A">
        <w:rPr>
          <w:color w:val="000000" w:themeColor="text1"/>
          <w:szCs w:val="24"/>
        </w:rPr>
        <w:t>the alleged disappearance of</w:t>
      </w:r>
      <w:r w:rsidRPr="00EA796A">
        <w:rPr>
          <w:color w:val="000000" w:themeColor="text1"/>
          <w:szCs w:val="24"/>
        </w:rPr>
        <w:br/>
        <w:t>Mr. Bolt</w:t>
      </w:r>
      <w:bookmarkEnd w:id="51"/>
      <w:bookmarkEnd w:id="52"/>
      <w:bookmarkEnd w:id="53"/>
      <w:bookmarkEnd w:id="54"/>
      <w:r w:rsidR="009E6AB7" w:rsidRPr="00EA796A">
        <w:rPr>
          <w:color w:val="000000" w:themeColor="text1"/>
          <w:szCs w:val="24"/>
        </w:rPr>
        <w:t xml:space="preserve"> </w:t>
      </w:r>
    </w:p>
    <w:p w14:paraId="078ACBC8" w14:textId="5342B5DA" w:rsidR="0005431B" w:rsidRPr="00EA796A" w:rsidRDefault="0005431B" w:rsidP="00EF5B4E">
      <w:pPr>
        <w:spacing w:after="0"/>
        <w:rPr>
          <w:rFonts w:cs="Times New Roman"/>
          <w:color w:val="000000" w:themeColor="text1"/>
          <w:szCs w:val="24"/>
          <w:lang w:val="en-US"/>
        </w:rPr>
      </w:pPr>
      <w:r w:rsidRPr="00EA796A">
        <w:rPr>
          <w:rFonts w:cs="Times New Roman"/>
          <w:color w:val="000000" w:themeColor="text1"/>
          <w:szCs w:val="24"/>
          <w:lang w:val="en-GB"/>
        </w:rPr>
        <w:t xml:space="preserve">From </w:t>
      </w:r>
      <w:r w:rsidR="00465587" w:rsidRPr="00EA796A">
        <w:rPr>
          <w:rFonts w:cs="Times New Roman"/>
          <w:color w:val="000000" w:themeColor="text1"/>
          <w:szCs w:val="24"/>
          <w:lang w:val="en-US"/>
        </w:rPr>
        <w:t xml:space="preserve">Art. 3, 4, 5 and 7 </w:t>
      </w:r>
      <w:r w:rsidR="00465587" w:rsidRPr="00EA796A">
        <w:rPr>
          <w:rFonts w:cs="Times New Roman"/>
          <w:i/>
          <w:color w:val="000000" w:themeColor="text1"/>
          <w:szCs w:val="24"/>
          <w:lang w:val="en-US"/>
        </w:rPr>
        <w:t>juncto</w:t>
      </w:r>
      <w:r w:rsidRPr="00EA796A">
        <w:rPr>
          <w:rFonts w:cs="Times New Roman"/>
          <w:color w:val="000000" w:themeColor="text1"/>
          <w:szCs w:val="24"/>
          <w:lang w:val="en-US"/>
        </w:rPr>
        <w:t xml:space="preserve"> </w:t>
      </w:r>
      <w:r w:rsidRPr="00EA796A">
        <w:rPr>
          <w:rFonts w:cs="Times New Roman"/>
          <w:color w:val="000000" w:themeColor="text1"/>
          <w:szCs w:val="24"/>
          <w:lang w:val="en-GB"/>
        </w:rPr>
        <w:t xml:space="preserve">1(1) and 2 </w:t>
      </w:r>
      <w:r w:rsidRPr="00EA796A">
        <w:rPr>
          <w:rFonts w:cs="Times New Roman"/>
          <w:color w:val="000000" w:themeColor="text1"/>
          <w:szCs w:val="24"/>
          <w:lang w:val="en-US"/>
        </w:rPr>
        <w:t>ACHR</w:t>
      </w:r>
      <w:r w:rsidRPr="00EA796A">
        <w:rPr>
          <w:rFonts w:cs="Times New Roman"/>
          <w:color w:val="000000" w:themeColor="text1"/>
          <w:szCs w:val="24"/>
          <w:lang w:val="en-GB"/>
        </w:rPr>
        <w:t xml:space="preserve">, several obligations can be derived. </w:t>
      </w:r>
      <w:r w:rsidR="00465587" w:rsidRPr="00EA796A">
        <w:rPr>
          <w:rFonts w:cs="Times New Roman"/>
          <w:color w:val="000000" w:themeColor="text1"/>
          <w:szCs w:val="24"/>
          <w:lang w:val="en-US"/>
        </w:rPr>
        <w:t>Firstly, s</w:t>
      </w:r>
      <w:r w:rsidRPr="00EA796A">
        <w:rPr>
          <w:rFonts w:cs="Times New Roman"/>
          <w:color w:val="000000" w:themeColor="text1"/>
          <w:szCs w:val="24"/>
          <w:lang w:val="en-US"/>
        </w:rPr>
        <w:t xml:space="preserve">tates must respect rights and freedoms recognized by the </w:t>
      </w:r>
      <w:r w:rsidR="00465587" w:rsidRPr="00EA796A">
        <w:rPr>
          <w:rFonts w:cs="Times New Roman"/>
          <w:color w:val="000000" w:themeColor="text1"/>
          <w:szCs w:val="24"/>
          <w:lang w:val="en-US"/>
        </w:rPr>
        <w:t>ACHR</w:t>
      </w:r>
      <w:r w:rsidRPr="00EA796A">
        <w:rPr>
          <w:rFonts w:cs="Times New Roman"/>
          <w:color w:val="000000" w:themeColor="text1"/>
          <w:szCs w:val="24"/>
          <w:lang w:val="en-US"/>
        </w:rPr>
        <w:t>, and secondly, they must ensure the free and full exercise of those rights.</w:t>
      </w:r>
      <w:r w:rsidRPr="00EA796A">
        <w:rPr>
          <w:rFonts w:cs="Times New Roman"/>
          <w:color w:val="000000" w:themeColor="text1"/>
          <w:szCs w:val="24"/>
          <w:vertAlign w:val="superscript"/>
          <w:lang w:val="en-GB"/>
        </w:rPr>
        <w:footnoteReference w:id="100"/>
      </w:r>
      <w:r w:rsidRPr="00EA796A">
        <w:rPr>
          <w:rFonts w:cs="Times New Roman"/>
          <w:color w:val="000000" w:themeColor="text1"/>
          <w:szCs w:val="24"/>
          <w:lang w:val="en-GB"/>
        </w:rPr>
        <w:t xml:space="preserve"> As a part of this duty, the State is obliged to provide investigation, prosecution and punishment in situations that may involve possible human rights violations.</w:t>
      </w:r>
      <w:r w:rsidRPr="00EA796A">
        <w:rPr>
          <w:rStyle w:val="FootnoteReference"/>
          <w:rFonts w:cs="Times New Roman"/>
          <w:color w:val="000000" w:themeColor="text1"/>
          <w:szCs w:val="24"/>
          <w:lang w:val="en-GB"/>
        </w:rPr>
        <w:footnoteReference w:id="101"/>
      </w:r>
      <w:r w:rsidRPr="00EA796A">
        <w:rPr>
          <w:rFonts w:cs="Times New Roman"/>
          <w:color w:val="000000" w:themeColor="text1"/>
          <w:szCs w:val="24"/>
          <w:lang w:val="en-GB"/>
        </w:rPr>
        <w:t xml:space="preserve"> The State could have still been held accountable for what happened to Mr. Bolt, had it not reacted to these events in line with its due diligence obligation. However, the State complied with all its duties under Art. 1(1) and 2 ACHR. Firstly, the State conducted a full, impartial, effective and prompt investigation</w:t>
      </w:r>
      <w:r w:rsidRPr="00EA796A">
        <w:rPr>
          <w:rStyle w:val="FootnoteReference"/>
          <w:rFonts w:cs="Times New Roman"/>
          <w:color w:val="000000" w:themeColor="text1"/>
          <w:szCs w:val="24"/>
          <w:lang w:val="en-GB"/>
        </w:rPr>
        <w:footnoteReference w:id="102"/>
      </w:r>
      <w:r w:rsidRPr="00EA796A">
        <w:rPr>
          <w:rFonts w:cs="Times New Roman"/>
          <w:color w:val="000000" w:themeColor="text1"/>
          <w:szCs w:val="24"/>
          <w:lang w:val="en-GB"/>
        </w:rPr>
        <w:t xml:space="preserve"> </w:t>
      </w:r>
      <w:r w:rsidRPr="00EA796A">
        <w:rPr>
          <w:rFonts w:cs="Times New Roman"/>
          <w:color w:val="000000" w:themeColor="text1"/>
          <w:szCs w:val="24"/>
          <w:lang w:val="en-US"/>
        </w:rPr>
        <w:t xml:space="preserve">into the allegations about Mr. Bolt’s disappearance. It was closed months later due to the lack of any evidence. However, there are no facts in the case that suggest that this investigation was not conducted diligently or that it was a </w:t>
      </w:r>
      <w:r w:rsidRPr="00EA796A">
        <w:rPr>
          <w:rFonts w:cs="Times New Roman"/>
          <w:i/>
          <w:color w:val="000000" w:themeColor="text1"/>
          <w:szCs w:val="24"/>
          <w:lang w:val="en-US"/>
        </w:rPr>
        <w:t>“mere formality, preordained to be ineffective”</w:t>
      </w:r>
      <w:r w:rsidRPr="00EA796A">
        <w:rPr>
          <w:rFonts w:cs="Times New Roman"/>
          <w:color w:val="000000" w:themeColor="text1"/>
          <w:szCs w:val="24"/>
          <w:lang w:val="en-US"/>
        </w:rPr>
        <w:t>.</w:t>
      </w:r>
      <w:r w:rsidRPr="00EA796A">
        <w:rPr>
          <w:rStyle w:val="FootnoteReference"/>
          <w:rFonts w:cs="Times New Roman"/>
          <w:color w:val="000000" w:themeColor="text1"/>
          <w:szCs w:val="24"/>
          <w:lang w:val="en-US"/>
        </w:rPr>
        <w:footnoteReference w:id="103"/>
      </w:r>
      <w:r w:rsidRPr="00EA796A">
        <w:rPr>
          <w:rFonts w:cs="Times New Roman"/>
          <w:color w:val="000000" w:themeColor="text1"/>
          <w:szCs w:val="24"/>
          <w:lang w:val="en-US"/>
        </w:rPr>
        <w:t xml:space="preserve"> The fact that the investigation was not successful does not imply a violation, because the duty to investigate is an obligation of means and not one of results.</w:t>
      </w:r>
      <w:r w:rsidRPr="00EA796A">
        <w:rPr>
          <w:rStyle w:val="FootnoteReference"/>
          <w:rFonts w:cs="Times New Roman"/>
          <w:color w:val="000000" w:themeColor="text1"/>
          <w:szCs w:val="24"/>
          <w:lang w:val="en-US"/>
        </w:rPr>
        <w:footnoteReference w:id="104"/>
      </w:r>
      <w:r w:rsidRPr="00EA796A">
        <w:rPr>
          <w:rFonts w:cs="Times New Roman"/>
          <w:color w:val="000000" w:themeColor="text1"/>
          <w:szCs w:val="24"/>
          <w:lang w:val="en-US"/>
        </w:rPr>
        <w:t xml:space="preserve"> The establishment of a Search Commission</w:t>
      </w:r>
      <w:r w:rsidRPr="00EA796A">
        <w:rPr>
          <w:rStyle w:val="FootnoteReference"/>
          <w:rFonts w:cs="Times New Roman"/>
          <w:color w:val="000000" w:themeColor="text1"/>
          <w:szCs w:val="24"/>
          <w:lang w:val="en-US"/>
        </w:rPr>
        <w:footnoteReference w:id="105"/>
      </w:r>
      <w:r w:rsidRPr="00EA796A">
        <w:rPr>
          <w:rFonts w:cs="Times New Roman"/>
          <w:color w:val="000000" w:themeColor="text1"/>
          <w:szCs w:val="24"/>
          <w:lang w:val="en-US"/>
        </w:rPr>
        <w:t xml:space="preserve"> can serve as a proof that the State’s approach towards the investigation into the alleged disappearance was not vague. This unambiguously shows the State’s dedication to find Mr. Bolt. Therefore, it can be concluded that the State diligently fulfilled its duty to investigate, despite the fact that no perpetrator was found </w:t>
      </w:r>
      <w:r w:rsidRPr="00EA796A">
        <w:rPr>
          <w:rFonts w:cs="Times New Roman"/>
          <w:color w:val="000000" w:themeColor="text1"/>
          <w:szCs w:val="24"/>
          <w:lang w:val="en-US"/>
        </w:rPr>
        <w:lastRenderedPageBreak/>
        <w:t xml:space="preserve">in the specific case, thus preventing a prosecution and a punishment. In light of the foregoing, the State complied with this obligation to the fullest extent. Lastly, the State conducted a full investigation into former President Ferreira who died before </w:t>
      </w:r>
      <w:r w:rsidR="00465587" w:rsidRPr="00EA796A">
        <w:rPr>
          <w:rFonts w:cs="Times New Roman"/>
          <w:color w:val="000000" w:themeColor="text1"/>
          <w:szCs w:val="24"/>
          <w:lang w:val="en-US"/>
        </w:rPr>
        <w:t>the completion of the prosecution</w:t>
      </w:r>
      <w:r w:rsidRPr="00EA796A">
        <w:rPr>
          <w:rFonts w:cs="Times New Roman"/>
          <w:color w:val="000000" w:themeColor="text1"/>
          <w:szCs w:val="24"/>
          <w:lang w:val="en-US"/>
        </w:rPr>
        <w:t>.</w:t>
      </w:r>
      <w:r w:rsidRPr="00EA796A">
        <w:rPr>
          <w:rStyle w:val="FootnoteReference"/>
          <w:rFonts w:cs="Times New Roman"/>
          <w:color w:val="000000" w:themeColor="text1"/>
          <w:szCs w:val="24"/>
          <w:lang w:val="en-US"/>
        </w:rPr>
        <w:footnoteReference w:id="106"/>
      </w:r>
      <w:r w:rsidRPr="00EA796A">
        <w:rPr>
          <w:rFonts w:cs="Times New Roman"/>
          <w:color w:val="000000" w:themeColor="text1"/>
          <w:szCs w:val="24"/>
          <w:lang w:val="en-US"/>
        </w:rPr>
        <w:t xml:space="preserve"> </w:t>
      </w:r>
    </w:p>
    <w:p w14:paraId="72B86429" w14:textId="2BEB7BC5" w:rsidR="0005431B" w:rsidRPr="00EA796A" w:rsidRDefault="0005431B" w:rsidP="00EF5B4E">
      <w:pPr>
        <w:spacing w:after="0"/>
        <w:rPr>
          <w:rFonts w:cs="Times New Roman"/>
          <w:color w:val="000000" w:themeColor="text1"/>
          <w:szCs w:val="24"/>
          <w:lang w:val="en-US"/>
        </w:rPr>
      </w:pPr>
      <w:r w:rsidRPr="00EA796A">
        <w:rPr>
          <w:rFonts w:cs="Times New Roman"/>
          <w:color w:val="000000" w:themeColor="text1"/>
          <w:szCs w:val="24"/>
          <w:lang w:val="en-US"/>
        </w:rPr>
        <w:t xml:space="preserve">This Court has held in </w:t>
      </w:r>
      <w:r w:rsidRPr="00EA796A">
        <w:rPr>
          <w:rFonts w:cs="Times New Roman"/>
          <w:i/>
          <w:color w:val="000000" w:themeColor="text1"/>
          <w:szCs w:val="24"/>
          <w:lang w:val="en-US"/>
        </w:rPr>
        <w:t>Anzualdo Castro</w:t>
      </w:r>
      <w:r w:rsidRPr="00EA796A">
        <w:rPr>
          <w:rStyle w:val="FootnoteReference"/>
          <w:rFonts w:cs="Times New Roman"/>
          <w:color w:val="000000" w:themeColor="text1"/>
          <w:szCs w:val="24"/>
          <w:lang w:val="en-US"/>
        </w:rPr>
        <w:footnoteReference w:id="107"/>
      </w:r>
      <w:r w:rsidRPr="00EA796A">
        <w:rPr>
          <w:rFonts w:cs="Times New Roman"/>
          <w:color w:val="000000" w:themeColor="text1"/>
          <w:szCs w:val="24"/>
          <w:lang w:val="en-US"/>
        </w:rPr>
        <w:t xml:space="preserve"> that, as a part of the obligation of due diligence in dealing with disappearances, states must introduce forced disappearances as an offence in their domestic legislation. The State has fulfilled this requirement by including the forced disappearance of persons as a crime in its Criminal Code</w:t>
      </w:r>
      <w:r w:rsidRPr="00EA796A">
        <w:rPr>
          <w:rStyle w:val="FootnoteReference"/>
          <w:rFonts w:cs="Times New Roman"/>
          <w:color w:val="000000" w:themeColor="text1"/>
          <w:szCs w:val="24"/>
          <w:lang w:val="en-US"/>
        </w:rPr>
        <w:footnoteReference w:id="108"/>
      </w:r>
      <w:r w:rsidRPr="00EA796A">
        <w:rPr>
          <w:rFonts w:cs="Times New Roman"/>
          <w:color w:val="000000" w:themeColor="text1"/>
          <w:szCs w:val="24"/>
          <w:lang w:val="en-US"/>
        </w:rPr>
        <w:t xml:space="preserve">. </w:t>
      </w:r>
      <w:r w:rsidR="00465587" w:rsidRPr="00EA796A">
        <w:rPr>
          <w:rFonts w:cs="Times New Roman"/>
          <w:color w:val="000000" w:themeColor="text1"/>
          <w:szCs w:val="24"/>
          <w:lang w:val="en-US"/>
        </w:rPr>
        <w:t xml:space="preserve">This once again confirms </w:t>
      </w:r>
      <w:r w:rsidRPr="00EA796A">
        <w:rPr>
          <w:rFonts w:cs="Times New Roman"/>
          <w:color w:val="000000" w:themeColor="text1"/>
          <w:szCs w:val="24"/>
          <w:lang w:val="en-US"/>
        </w:rPr>
        <w:t>that there is no state responsibility for the disappearance of Bolt</w:t>
      </w:r>
      <w:r w:rsidR="00465587" w:rsidRPr="00EA796A">
        <w:rPr>
          <w:rFonts w:cs="Times New Roman"/>
          <w:color w:val="000000" w:themeColor="text1"/>
          <w:szCs w:val="24"/>
          <w:lang w:val="en-US"/>
        </w:rPr>
        <w:t>.</w:t>
      </w:r>
    </w:p>
    <w:p w14:paraId="38891D1F" w14:textId="459777BA" w:rsidR="004449A3" w:rsidRPr="00EA796A" w:rsidRDefault="004449A3" w:rsidP="00CD1557">
      <w:pPr>
        <w:pStyle w:val="Heading5"/>
        <w:numPr>
          <w:ilvl w:val="1"/>
          <w:numId w:val="28"/>
        </w:numPr>
        <w:rPr>
          <w:color w:val="000000" w:themeColor="text1"/>
          <w:szCs w:val="24"/>
          <w:lang w:val="en-US"/>
        </w:rPr>
      </w:pPr>
      <w:bookmarkStart w:id="55" w:name="_Toc288789558"/>
      <w:r w:rsidRPr="00EA796A">
        <w:rPr>
          <w:color w:val="000000" w:themeColor="text1"/>
          <w:szCs w:val="24"/>
          <w:lang w:val="en-US"/>
        </w:rPr>
        <w:t>The State provided adequate reparations for Mrs. Bolt</w:t>
      </w:r>
      <w:bookmarkEnd w:id="55"/>
      <w:r w:rsidR="00415CCD" w:rsidRPr="00EA796A">
        <w:rPr>
          <w:color w:val="000000" w:themeColor="text1"/>
          <w:szCs w:val="24"/>
          <w:lang w:val="en-US"/>
        </w:rPr>
        <w:t xml:space="preserve"> </w:t>
      </w:r>
      <w:r w:rsidR="009E6AB7" w:rsidRPr="00EA796A">
        <w:rPr>
          <w:color w:val="000000" w:themeColor="text1"/>
          <w:szCs w:val="24"/>
          <w:lang w:val="en-US"/>
        </w:rPr>
        <w:t xml:space="preserve"> </w:t>
      </w:r>
    </w:p>
    <w:p w14:paraId="26E7750D" w14:textId="4676EEB2" w:rsidR="0005431B" w:rsidRPr="00EA796A" w:rsidRDefault="00F75A53" w:rsidP="00EF5B4E">
      <w:pPr>
        <w:spacing w:after="0"/>
        <w:rPr>
          <w:rFonts w:cs="Times New Roman"/>
          <w:color w:val="000000" w:themeColor="text1"/>
          <w:szCs w:val="24"/>
          <w:lang w:val="en-US"/>
        </w:rPr>
      </w:pPr>
      <w:r w:rsidRPr="00EA796A">
        <w:rPr>
          <w:rFonts w:cs="Times New Roman"/>
          <w:color w:val="000000" w:themeColor="text1"/>
          <w:szCs w:val="24"/>
          <w:lang w:val="en-US"/>
        </w:rPr>
        <w:t>T</w:t>
      </w:r>
      <w:r w:rsidR="0005431B" w:rsidRPr="00EA796A">
        <w:rPr>
          <w:rFonts w:cs="Times New Roman"/>
          <w:color w:val="000000" w:themeColor="text1"/>
          <w:szCs w:val="24"/>
          <w:lang w:val="en-GB"/>
        </w:rPr>
        <w:t>he State has established a reparations program under the Ministry of Victims, within the framework of the ACRL.</w:t>
      </w:r>
      <w:r w:rsidR="0005431B" w:rsidRPr="00EA796A">
        <w:rPr>
          <w:rStyle w:val="FootnoteReference"/>
          <w:rFonts w:cs="Times New Roman"/>
          <w:color w:val="000000" w:themeColor="text1"/>
          <w:szCs w:val="24"/>
          <w:lang w:val="en-GB"/>
        </w:rPr>
        <w:footnoteReference w:id="109"/>
      </w:r>
      <w:r w:rsidR="0005431B" w:rsidRPr="00EA796A">
        <w:rPr>
          <w:rFonts w:cs="Times New Roman"/>
          <w:color w:val="000000" w:themeColor="text1"/>
          <w:szCs w:val="24"/>
          <w:lang w:val="en-GB"/>
        </w:rPr>
        <w:t xml:space="preserve"> </w:t>
      </w:r>
      <w:r w:rsidR="0005431B" w:rsidRPr="00EA796A">
        <w:rPr>
          <w:rFonts w:cs="Times New Roman"/>
          <w:color w:val="000000" w:themeColor="text1"/>
          <w:szCs w:val="24"/>
          <w:lang w:val="en-US"/>
        </w:rPr>
        <w:t>The aim of the program was to compensate the victims of the armed conflict and their relatives by offering measures of restitution, satisfaction, compensation, rehabilitation and guarantees of non-repetition.</w:t>
      </w:r>
      <w:r w:rsidR="0005431B" w:rsidRPr="00EA796A">
        <w:rPr>
          <w:rStyle w:val="FootnoteReference"/>
          <w:rFonts w:cs="Times New Roman"/>
          <w:color w:val="000000" w:themeColor="text1"/>
          <w:szCs w:val="24"/>
          <w:lang w:val="en-US"/>
        </w:rPr>
        <w:footnoteReference w:id="110"/>
      </w:r>
      <w:r w:rsidR="0005431B" w:rsidRPr="00EA796A">
        <w:rPr>
          <w:rFonts w:cs="Times New Roman"/>
          <w:color w:val="000000" w:themeColor="text1"/>
          <w:szCs w:val="24"/>
          <w:lang w:val="en-US"/>
        </w:rPr>
        <w:t xml:space="preserve"> </w:t>
      </w:r>
      <w:r w:rsidR="0005431B" w:rsidRPr="00EA796A">
        <w:rPr>
          <w:rFonts w:cs="Times New Roman"/>
          <w:color w:val="000000" w:themeColor="text1"/>
          <w:szCs w:val="24"/>
          <w:lang w:val="en-GB"/>
        </w:rPr>
        <w:t>This victim-centred approach meets the standards of the Inter-American system.</w:t>
      </w:r>
      <w:r w:rsidR="0005431B" w:rsidRPr="00EA796A">
        <w:rPr>
          <w:rStyle w:val="FootnoteReference"/>
          <w:rFonts w:cs="Times New Roman"/>
          <w:color w:val="000000" w:themeColor="text1"/>
          <w:szCs w:val="24"/>
          <w:lang w:val="en-GB"/>
        </w:rPr>
        <w:footnoteReference w:id="111"/>
      </w:r>
      <w:r w:rsidR="0005431B" w:rsidRPr="00EA796A">
        <w:rPr>
          <w:rFonts w:cs="Times New Roman"/>
          <w:color w:val="000000" w:themeColor="text1"/>
          <w:szCs w:val="24"/>
          <w:lang w:val="en-GB"/>
        </w:rPr>
        <w:t xml:space="preserve"> </w:t>
      </w:r>
      <w:r w:rsidR="0005431B" w:rsidRPr="00EA796A">
        <w:rPr>
          <w:rFonts w:cs="Times New Roman"/>
          <w:color w:val="000000" w:themeColor="text1"/>
          <w:szCs w:val="24"/>
          <w:lang w:val="en-US"/>
        </w:rPr>
        <w:t>Under the reparations policy, Mrs. Bolt was granted the sum of 20,000$.</w:t>
      </w:r>
      <w:r w:rsidR="0005431B" w:rsidRPr="00EA796A">
        <w:rPr>
          <w:rStyle w:val="FootnoteReference"/>
          <w:rFonts w:cs="Times New Roman"/>
          <w:color w:val="000000" w:themeColor="text1"/>
          <w:szCs w:val="24"/>
          <w:lang w:val="en-US"/>
        </w:rPr>
        <w:footnoteReference w:id="112"/>
      </w:r>
      <w:r w:rsidR="0005431B" w:rsidRPr="00EA796A">
        <w:rPr>
          <w:rFonts w:cs="Times New Roman"/>
          <w:color w:val="000000" w:themeColor="text1"/>
          <w:szCs w:val="24"/>
          <w:lang w:val="en-US"/>
        </w:rPr>
        <w:t xml:space="preserve"> </w:t>
      </w:r>
      <w:r w:rsidR="0005431B" w:rsidRPr="00EA796A">
        <w:rPr>
          <w:rFonts w:cs="Times New Roman"/>
          <w:color w:val="000000" w:themeColor="text1"/>
          <w:szCs w:val="24"/>
          <w:lang w:val="en-GB"/>
        </w:rPr>
        <w:t xml:space="preserve">On top of this, the CoS granted an additional compensation of 10,000$, bringing the total amount to 30,000$. However, it is </w:t>
      </w:r>
      <w:r w:rsidR="0005431B" w:rsidRPr="00EA796A">
        <w:rPr>
          <w:rFonts w:cs="Times New Roman"/>
          <w:color w:val="000000" w:themeColor="text1"/>
          <w:szCs w:val="24"/>
          <w:lang w:val="en-US"/>
        </w:rPr>
        <w:t>not asserted in the facts that this compensation was given as an acknowledgement of direct state responsibility.</w:t>
      </w:r>
      <w:r w:rsidR="0005431B" w:rsidRPr="00EA796A">
        <w:rPr>
          <w:rStyle w:val="FootnoteReference"/>
          <w:rFonts w:cs="Times New Roman"/>
          <w:color w:val="000000" w:themeColor="text1"/>
          <w:szCs w:val="24"/>
          <w:lang w:val="en-US"/>
        </w:rPr>
        <w:footnoteReference w:id="113"/>
      </w:r>
      <w:r w:rsidR="0005431B" w:rsidRPr="00EA796A">
        <w:rPr>
          <w:rFonts w:cs="Times New Roman"/>
          <w:color w:val="000000" w:themeColor="text1"/>
          <w:szCs w:val="24"/>
          <w:lang w:val="en-US"/>
        </w:rPr>
        <w:t xml:space="preserve"> </w:t>
      </w:r>
      <w:r w:rsidR="0005431B" w:rsidRPr="00EA796A">
        <w:rPr>
          <w:rFonts w:cs="Times New Roman"/>
          <w:color w:val="000000" w:themeColor="text1"/>
          <w:szCs w:val="24"/>
          <w:lang w:val="en-GB"/>
        </w:rPr>
        <w:t xml:space="preserve">Bearing in </w:t>
      </w:r>
      <w:r w:rsidR="0005431B" w:rsidRPr="00EA796A">
        <w:rPr>
          <w:rFonts w:cs="Times New Roman"/>
          <w:color w:val="000000" w:themeColor="text1"/>
          <w:szCs w:val="24"/>
          <w:lang w:val="en-GB"/>
        </w:rPr>
        <w:lastRenderedPageBreak/>
        <w:t>mind the difficult economic situation of the State</w:t>
      </w:r>
      <w:r w:rsidR="0005431B" w:rsidRPr="00EA796A">
        <w:rPr>
          <w:rStyle w:val="FootnoteReference"/>
          <w:rFonts w:cs="Times New Roman"/>
          <w:color w:val="000000" w:themeColor="text1"/>
          <w:szCs w:val="24"/>
          <w:lang w:val="en-GB"/>
        </w:rPr>
        <w:footnoteReference w:id="114"/>
      </w:r>
      <w:r w:rsidR="0005431B" w:rsidRPr="00EA796A">
        <w:rPr>
          <w:rFonts w:cs="Times New Roman"/>
          <w:color w:val="000000" w:themeColor="text1"/>
          <w:szCs w:val="24"/>
          <w:lang w:val="en-GB"/>
        </w:rPr>
        <w:t xml:space="preserve"> and the fact that compensations are not meant to enrich the beneficiaries</w:t>
      </w:r>
      <w:r w:rsidR="0005431B" w:rsidRPr="00EA796A">
        <w:rPr>
          <w:rStyle w:val="FootnoteReference"/>
          <w:rFonts w:cs="Times New Roman"/>
          <w:color w:val="000000" w:themeColor="text1"/>
          <w:szCs w:val="24"/>
          <w:lang w:val="en-GB"/>
        </w:rPr>
        <w:footnoteReference w:id="115"/>
      </w:r>
      <w:r w:rsidR="0005431B" w:rsidRPr="00EA796A">
        <w:rPr>
          <w:rFonts w:cs="Times New Roman"/>
          <w:color w:val="000000" w:themeColor="text1"/>
          <w:szCs w:val="24"/>
          <w:lang w:val="en-GB"/>
        </w:rPr>
        <w:t>, the amounts granted to Mrs. Bolt are in concurrence with those granted by the Court in similar cases.</w:t>
      </w:r>
      <w:r w:rsidR="0005431B" w:rsidRPr="00EA796A">
        <w:rPr>
          <w:rStyle w:val="FootnoteReference"/>
          <w:rFonts w:cs="Times New Roman"/>
          <w:color w:val="000000" w:themeColor="text1"/>
          <w:szCs w:val="24"/>
          <w:lang w:val="en-GB"/>
        </w:rPr>
        <w:footnoteReference w:id="116"/>
      </w:r>
      <w:r w:rsidR="0005431B" w:rsidRPr="00EA796A">
        <w:rPr>
          <w:rFonts w:cs="Times New Roman"/>
          <w:color w:val="000000" w:themeColor="text1"/>
          <w:szCs w:val="24"/>
          <w:lang w:val="en-GB"/>
        </w:rPr>
        <w:t xml:space="preserve"> Moreover, the State did not only give her a fair compensation, but also included her in the programs of rehabilitation, satisfaction, and </w:t>
      </w:r>
      <w:r w:rsidR="00415CCD" w:rsidRPr="00EA796A">
        <w:rPr>
          <w:rFonts w:cs="Times New Roman"/>
          <w:color w:val="000000" w:themeColor="text1"/>
          <w:szCs w:val="24"/>
          <w:lang w:val="en-GB"/>
        </w:rPr>
        <w:t>peace building</w:t>
      </w:r>
      <w:r w:rsidR="0005431B" w:rsidRPr="00EA796A">
        <w:rPr>
          <w:rFonts w:cs="Times New Roman"/>
          <w:color w:val="000000" w:themeColor="text1"/>
          <w:szCs w:val="24"/>
          <w:lang w:val="en-GB"/>
        </w:rPr>
        <w:t xml:space="preserve"> as a guarantee of non-repetition.</w:t>
      </w:r>
      <w:r w:rsidR="0005431B" w:rsidRPr="00EA796A">
        <w:rPr>
          <w:rStyle w:val="FootnoteReference"/>
          <w:rFonts w:cs="Times New Roman"/>
          <w:color w:val="000000" w:themeColor="text1"/>
          <w:szCs w:val="24"/>
          <w:lang w:val="en-GB"/>
        </w:rPr>
        <w:footnoteReference w:id="117"/>
      </w:r>
      <w:r w:rsidR="0005431B" w:rsidRPr="00EA796A">
        <w:rPr>
          <w:rFonts w:cs="Times New Roman"/>
          <w:color w:val="000000" w:themeColor="text1"/>
          <w:szCs w:val="24"/>
          <w:lang w:val="en-GB"/>
        </w:rPr>
        <w:t xml:space="preserve"> Since she already received multiple and adequate reparations under domestic law, the State complied with its duty to make adequate reparations.</w:t>
      </w:r>
      <w:r w:rsidR="00F5454B" w:rsidRPr="00EA796A">
        <w:rPr>
          <w:rStyle w:val="FootnoteReference"/>
          <w:rFonts w:cs="Times New Roman"/>
          <w:color w:val="000000" w:themeColor="text1"/>
          <w:szCs w:val="24"/>
          <w:lang w:val="en-GB"/>
        </w:rPr>
        <w:footnoteReference w:id="118"/>
      </w:r>
      <w:r w:rsidR="0005431B" w:rsidRPr="00EA796A">
        <w:rPr>
          <w:rFonts w:cs="Times New Roman"/>
          <w:color w:val="000000" w:themeColor="text1"/>
          <w:szCs w:val="24"/>
          <w:lang w:val="en-GB"/>
        </w:rPr>
        <w:t xml:space="preserve"> </w:t>
      </w:r>
      <w:r w:rsidR="0005431B" w:rsidRPr="00EA796A">
        <w:rPr>
          <w:rFonts w:cs="Times New Roman"/>
          <w:color w:val="000000" w:themeColor="text1"/>
          <w:szCs w:val="24"/>
          <w:lang w:val="en-US"/>
        </w:rPr>
        <w:t xml:space="preserve">For these reasons, the State fulfilled its obligations </w:t>
      </w:r>
      <w:r w:rsidRPr="00EA796A">
        <w:rPr>
          <w:rFonts w:cs="Times New Roman"/>
          <w:color w:val="000000" w:themeColor="text1"/>
          <w:szCs w:val="24"/>
          <w:lang w:val="en-US"/>
        </w:rPr>
        <w:t>with regard to the reparations.</w:t>
      </w:r>
    </w:p>
    <w:p w14:paraId="0E17B78C" w14:textId="18AE169F" w:rsidR="00BE3A14" w:rsidRPr="00EA796A" w:rsidRDefault="00D2477B" w:rsidP="00EF5B4E">
      <w:pPr>
        <w:pStyle w:val="Heading4"/>
        <w:rPr>
          <w:color w:val="000000" w:themeColor="text1"/>
        </w:rPr>
      </w:pPr>
      <w:bookmarkStart w:id="56" w:name="_Toc287780513"/>
      <w:bookmarkStart w:id="57" w:name="_Toc414047147"/>
      <w:bookmarkStart w:id="58" w:name="_Toc288551025"/>
      <w:bookmarkStart w:id="59" w:name="_Toc288727703"/>
      <w:bookmarkStart w:id="60" w:name="_Toc288789559"/>
      <w:r w:rsidRPr="00EA796A">
        <w:rPr>
          <w:color w:val="000000" w:themeColor="text1"/>
        </w:rPr>
        <w:t xml:space="preserve">2.2 </w:t>
      </w:r>
      <w:r w:rsidR="00415CCD" w:rsidRPr="00EA796A">
        <w:rPr>
          <w:color w:val="000000" w:themeColor="text1"/>
        </w:rPr>
        <w:t>There is no s</w:t>
      </w:r>
      <w:r w:rsidR="00BE3A14" w:rsidRPr="00EA796A">
        <w:rPr>
          <w:color w:val="000000" w:themeColor="text1"/>
        </w:rPr>
        <w:t>tate responsibility for the attacks on the Boneca as alleged by Mrs. Bolt</w:t>
      </w:r>
      <w:bookmarkEnd w:id="56"/>
      <w:bookmarkEnd w:id="57"/>
      <w:bookmarkEnd w:id="58"/>
      <w:bookmarkEnd w:id="59"/>
      <w:r w:rsidR="00415CCD" w:rsidRPr="00EA796A">
        <w:rPr>
          <w:color w:val="000000" w:themeColor="text1"/>
        </w:rPr>
        <w:t xml:space="preserve"> (Art. 24 j° 1(1) and 2 ACHR)</w:t>
      </w:r>
      <w:bookmarkEnd w:id="60"/>
    </w:p>
    <w:p w14:paraId="3EE92A62" w14:textId="4C8B3FD9" w:rsidR="00BE3A14" w:rsidRPr="00EA796A" w:rsidRDefault="00BE3A14" w:rsidP="00EF5B4E">
      <w:pPr>
        <w:pStyle w:val="Heading5"/>
        <w:numPr>
          <w:ilvl w:val="0"/>
          <w:numId w:val="34"/>
        </w:numPr>
        <w:rPr>
          <w:color w:val="000000" w:themeColor="text1"/>
          <w:szCs w:val="24"/>
        </w:rPr>
      </w:pPr>
      <w:bookmarkStart w:id="61" w:name="_Toc288551026"/>
      <w:bookmarkStart w:id="62" w:name="_Toc288789560"/>
      <w:r w:rsidRPr="00EA796A">
        <w:rPr>
          <w:color w:val="000000" w:themeColor="text1"/>
          <w:szCs w:val="24"/>
        </w:rPr>
        <w:t>The State is not responsible for the attacks on the Boneca</w:t>
      </w:r>
      <w:bookmarkEnd w:id="61"/>
      <w:bookmarkEnd w:id="62"/>
    </w:p>
    <w:p w14:paraId="576D3F7A" w14:textId="0FDD566B" w:rsidR="00A21AB3" w:rsidRPr="00EA796A" w:rsidRDefault="00A21AB3" w:rsidP="00EF5B4E">
      <w:pPr>
        <w:spacing w:after="0"/>
        <w:rPr>
          <w:rFonts w:cs="Times New Roman"/>
          <w:color w:val="000000" w:themeColor="text1"/>
          <w:szCs w:val="24"/>
          <w:lang w:val="en-GB"/>
        </w:rPr>
      </w:pPr>
      <w:bookmarkStart w:id="63" w:name="_Toc288551027"/>
      <w:r w:rsidRPr="00EA796A">
        <w:rPr>
          <w:rFonts w:cs="Times New Roman"/>
          <w:color w:val="000000" w:themeColor="text1"/>
          <w:szCs w:val="24"/>
          <w:lang w:val="en-GB"/>
        </w:rPr>
        <w:t xml:space="preserve">The State did not target the Boneca due to their status as Indigenous Peoples, unlike what Mrs. Bolt stated. The Court has specifically held that the general principles of equal protection by the law and of non-discrimination are </w:t>
      </w:r>
      <w:r w:rsidRPr="00EA796A">
        <w:rPr>
          <w:rFonts w:cs="Times New Roman"/>
          <w:i/>
          <w:color w:val="000000" w:themeColor="text1"/>
          <w:szCs w:val="24"/>
          <w:lang w:val="en-GB"/>
        </w:rPr>
        <w:t>ius cogens</w:t>
      </w:r>
      <w:r w:rsidRPr="00EA796A">
        <w:rPr>
          <w:rFonts w:cs="Times New Roman"/>
          <w:color w:val="000000" w:themeColor="text1"/>
          <w:szCs w:val="24"/>
          <w:vertAlign w:val="superscript"/>
          <w:lang w:val="en-GB"/>
        </w:rPr>
        <w:footnoteReference w:id="119"/>
      </w:r>
      <w:r w:rsidRPr="00EA796A">
        <w:rPr>
          <w:rFonts w:cs="Times New Roman"/>
          <w:color w:val="000000" w:themeColor="text1"/>
          <w:szCs w:val="24"/>
          <w:lang w:val="en-GB"/>
        </w:rPr>
        <w:t xml:space="preserve">. It made them especially applicable to persons more vulnerable than others, like Indigenous Peoples. </w:t>
      </w:r>
      <w:r w:rsidR="00FB2AAF" w:rsidRPr="00EA796A">
        <w:rPr>
          <w:rFonts w:cs="Times New Roman"/>
          <w:color w:val="000000" w:themeColor="text1"/>
          <w:szCs w:val="24"/>
          <w:lang w:val="en-GB"/>
        </w:rPr>
        <w:t>Therefore, under Art. 24 ACHR, s</w:t>
      </w:r>
      <w:r w:rsidRPr="00EA796A">
        <w:rPr>
          <w:rFonts w:cs="Times New Roman"/>
          <w:color w:val="000000" w:themeColor="text1"/>
          <w:szCs w:val="24"/>
          <w:lang w:val="en-GB"/>
        </w:rPr>
        <w:t>tates should eliminate all discriminatory practices.</w:t>
      </w:r>
      <w:r w:rsidRPr="00EA796A">
        <w:rPr>
          <w:rFonts w:cs="Times New Roman"/>
          <w:color w:val="000000" w:themeColor="text1"/>
          <w:szCs w:val="24"/>
          <w:vertAlign w:val="superscript"/>
          <w:lang w:val="en-GB"/>
        </w:rPr>
        <w:footnoteReference w:id="120"/>
      </w:r>
      <w:r w:rsidRPr="00EA796A">
        <w:rPr>
          <w:rFonts w:cs="Times New Roman"/>
          <w:color w:val="000000" w:themeColor="text1"/>
          <w:szCs w:val="24"/>
          <w:vertAlign w:val="superscript"/>
          <w:lang w:val="en-GB"/>
        </w:rPr>
        <w:t xml:space="preserve"> </w:t>
      </w:r>
      <w:r w:rsidRPr="00EA796A">
        <w:rPr>
          <w:rFonts w:cs="Times New Roman"/>
          <w:color w:val="000000" w:themeColor="text1"/>
          <w:szCs w:val="24"/>
          <w:lang w:val="en-GB"/>
        </w:rPr>
        <w:t>The investigation into the Boneca Community occurred in a situation of conflict. It was conducted in order to find Mr. Bolt, one of the kidnappers of the children.</w:t>
      </w:r>
      <w:r w:rsidRPr="00EA796A">
        <w:rPr>
          <w:rFonts w:cs="Times New Roman"/>
          <w:color w:val="000000" w:themeColor="text1"/>
          <w:szCs w:val="24"/>
          <w:vertAlign w:val="superscript"/>
          <w:lang w:val="en-GB"/>
        </w:rPr>
        <w:footnoteReference w:id="121"/>
      </w:r>
      <w:r w:rsidRPr="00EA796A">
        <w:rPr>
          <w:rFonts w:cs="Times New Roman"/>
          <w:color w:val="000000" w:themeColor="text1"/>
          <w:szCs w:val="24"/>
          <w:vertAlign w:val="superscript"/>
          <w:lang w:val="en-GB"/>
        </w:rPr>
        <w:t xml:space="preserve"> </w:t>
      </w:r>
      <w:r w:rsidRPr="00EA796A">
        <w:rPr>
          <w:rFonts w:cs="Times New Roman"/>
          <w:color w:val="000000" w:themeColor="text1"/>
          <w:szCs w:val="24"/>
          <w:lang w:val="en-GB"/>
        </w:rPr>
        <w:t xml:space="preserve">It was not a discriminatory act. The State merely wished to find those responsible for the kidnappings. There was no disadvantaging or specific targeting of the </w:t>
      </w:r>
      <w:r w:rsidRPr="00EA796A">
        <w:rPr>
          <w:rFonts w:cs="Times New Roman"/>
          <w:color w:val="000000" w:themeColor="text1"/>
          <w:szCs w:val="24"/>
          <w:lang w:val="en-GB"/>
        </w:rPr>
        <w:lastRenderedPageBreak/>
        <w:t xml:space="preserve">Boneca to discriminate against them. The events were part of a general investigation into an atrocious crime. </w:t>
      </w:r>
      <w:r w:rsidR="002D0C66" w:rsidRPr="00EA796A">
        <w:rPr>
          <w:rFonts w:cs="Times New Roman"/>
          <w:color w:val="000000" w:themeColor="text1"/>
          <w:szCs w:val="24"/>
          <w:lang w:val="en-GB"/>
        </w:rPr>
        <w:t>There was no violation of A</w:t>
      </w:r>
      <w:r w:rsidRPr="00EA796A">
        <w:rPr>
          <w:rFonts w:cs="Times New Roman"/>
          <w:color w:val="000000" w:themeColor="text1"/>
          <w:szCs w:val="24"/>
          <w:lang w:val="en-GB"/>
        </w:rPr>
        <w:t>rt. 24 ACHR.</w:t>
      </w:r>
    </w:p>
    <w:p w14:paraId="01149D1F" w14:textId="17BE53C0" w:rsidR="00BE3A14" w:rsidRPr="00EA796A" w:rsidRDefault="00BE3A14" w:rsidP="00EF5B4E">
      <w:pPr>
        <w:pStyle w:val="Heading5"/>
        <w:rPr>
          <w:color w:val="000000" w:themeColor="text1"/>
          <w:szCs w:val="24"/>
        </w:rPr>
      </w:pPr>
      <w:bookmarkStart w:id="64" w:name="_Toc288789561"/>
      <w:r w:rsidRPr="00EA796A">
        <w:rPr>
          <w:color w:val="000000" w:themeColor="text1"/>
          <w:szCs w:val="24"/>
        </w:rPr>
        <w:t>The State fulfilled its positive obligations regarding the Boneca</w:t>
      </w:r>
      <w:bookmarkEnd w:id="63"/>
      <w:bookmarkEnd w:id="64"/>
    </w:p>
    <w:p w14:paraId="21E8F199" w14:textId="0A3D0BDD" w:rsidR="00A21AB3" w:rsidRPr="00EA796A" w:rsidRDefault="00A21AB3" w:rsidP="00EF5B4E">
      <w:pPr>
        <w:spacing w:after="0"/>
        <w:rPr>
          <w:rFonts w:cs="Times New Roman"/>
          <w:color w:val="000000" w:themeColor="text1"/>
          <w:szCs w:val="24"/>
          <w:lang w:val="en-US"/>
        </w:rPr>
      </w:pPr>
      <w:r w:rsidRPr="00EA796A">
        <w:rPr>
          <w:rFonts w:cs="Times New Roman"/>
          <w:color w:val="000000" w:themeColor="text1"/>
          <w:szCs w:val="24"/>
          <w:lang w:val="en-US"/>
        </w:rPr>
        <w:t>In the aftermath of the attacks on the Boneca, the State complied with the duty to investigate, prosecute and punish those responsible.</w:t>
      </w:r>
      <w:r w:rsidR="002D0C66" w:rsidRPr="00EA796A">
        <w:rPr>
          <w:rFonts w:cs="Times New Roman"/>
          <w:color w:val="000000" w:themeColor="text1"/>
          <w:szCs w:val="24"/>
          <w:lang w:val="en-US"/>
        </w:rPr>
        <w:t xml:space="preserve"> It can be deduced from the facts that there has been an investigation and that the most responsible perpetrators of the attacks have been included in the</w:t>
      </w:r>
      <w:r w:rsidRPr="00EA796A">
        <w:rPr>
          <w:rFonts w:cs="Times New Roman"/>
          <w:color w:val="000000" w:themeColor="text1"/>
          <w:szCs w:val="24"/>
          <w:lang w:val="en-US"/>
        </w:rPr>
        <w:t xml:space="preserve"> transitional j</w:t>
      </w:r>
      <w:r w:rsidR="002D0C66" w:rsidRPr="00EA796A">
        <w:rPr>
          <w:rFonts w:cs="Times New Roman"/>
          <w:color w:val="000000" w:themeColor="text1"/>
          <w:szCs w:val="24"/>
          <w:lang w:val="en-US"/>
        </w:rPr>
        <w:t>ustice mechanism</w:t>
      </w:r>
      <w:r w:rsidRPr="00EA796A">
        <w:rPr>
          <w:rFonts w:cs="Times New Roman"/>
          <w:color w:val="000000" w:themeColor="text1"/>
          <w:szCs w:val="24"/>
          <w:lang w:val="en-US"/>
        </w:rPr>
        <w:t>.</w:t>
      </w:r>
      <w:r w:rsidRPr="00EA796A">
        <w:rPr>
          <w:rStyle w:val="FootnoteReference"/>
          <w:rFonts w:cs="Times New Roman"/>
          <w:color w:val="000000" w:themeColor="text1"/>
          <w:szCs w:val="24"/>
          <w:lang w:val="en-US"/>
        </w:rPr>
        <w:footnoteReference w:id="122"/>
      </w:r>
      <w:r w:rsidRPr="00EA796A">
        <w:rPr>
          <w:rFonts w:cs="Times New Roman"/>
          <w:color w:val="000000" w:themeColor="text1"/>
          <w:szCs w:val="24"/>
          <w:lang w:val="en-US"/>
        </w:rPr>
        <w:t xml:space="preserve"> Among those identified as the most responsible were three former commanders of the armed forces and two former Ministers of War.</w:t>
      </w:r>
      <w:r w:rsidRPr="00EA796A">
        <w:rPr>
          <w:rStyle w:val="FootnoteReference"/>
          <w:rFonts w:cs="Times New Roman"/>
          <w:color w:val="000000" w:themeColor="text1"/>
          <w:szCs w:val="24"/>
          <w:lang w:val="en-US"/>
        </w:rPr>
        <w:footnoteReference w:id="123"/>
      </w:r>
      <w:r w:rsidRPr="00EA796A">
        <w:rPr>
          <w:rFonts w:cs="Times New Roman"/>
          <w:color w:val="000000" w:themeColor="text1"/>
          <w:szCs w:val="24"/>
          <w:lang w:val="en-US"/>
        </w:rPr>
        <w:t xml:space="preserve"> </w:t>
      </w:r>
      <w:r w:rsidR="002D0C66" w:rsidRPr="00EA796A">
        <w:rPr>
          <w:rFonts w:cs="Times New Roman"/>
          <w:color w:val="000000" w:themeColor="text1"/>
          <w:szCs w:val="24"/>
          <w:lang w:val="en-US"/>
        </w:rPr>
        <w:t xml:space="preserve">Several individuals involved have been </w:t>
      </w:r>
      <w:r w:rsidRPr="00EA796A">
        <w:rPr>
          <w:rFonts w:cs="Times New Roman"/>
          <w:color w:val="000000" w:themeColor="text1"/>
          <w:szCs w:val="24"/>
          <w:lang w:val="en-US"/>
        </w:rPr>
        <w:t>dealt with under the official transition mechanisms.</w:t>
      </w:r>
      <w:r w:rsidRPr="00EA796A">
        <w:rPr>
          <w:rStyle w:val="FootnoteReference"/>
          <w:rFonts w:cs="Times New Roman"/>
          <w:color w:val="000000" w:themeColor="text1"/>
          <w:szCs w:val="24"/>
          <w:lang w:val="en-US"/>
        </w:rPr>
        <w:footnoteReference w:id="124"/>
      </w:r>
      <w:r w:rsidRPr="00EA796A">
        <w:rPr>
          <w:rFonts w:cs="Times New Roman"/>
          <w:color w:val="000000" w:themeColor="text1"/>
          <w:szCs w:val="24"/>
          <w:lang w:val="en-US"/>
        </w:rPr>
        <w:t xml:space="preserve"> President Ferreira, as mastermind of the events, would have been prosecuted and punished if he had not died before the State was fully able to do so.</w:t>
      </w:r>
      <w:r w:rsidRPr="00EA796A">
        <w:rPr>
          <w:rStyle w:val="FootnoteReference"/>
          <w:rFonts w:cs="Times New Roman"/>
          <w:color w:val="000000" w:themeColor="text1"/>
          <w:szCs w:val="24"/>
          <w:lang w:val="en-US"/>
        </w:rPr>
        <w:footnoteReference w:id="125"/>
      </w:r>
      <w:r w:rsidRPr="00EA796A">
        <w:rPr>
          <w:rFonts w:cs="Times New Roman"/>
          <w:color w:val="000000" w:themeColor="text1"/>
          <w:szCs w:val="24"/>
          <w:lang w:val="en-US"/>
        </w:rPr>
        <w:t xml:space="preserve"> Consequently, the State complied with its positive obligations concerning the attacks on the Boneca Community.</w:t>
      </w:r>
    </w:p>
    <w:p w14:paraId="4BACAFBA" w14:textId="3ADE545A" w:rsidR="004449A3" w:rsidRPr="00EA796A" w:rsidRDefault="004449A3" w:rsidP="00EF5B4E">
      <w:pPr>
        <w:pStyle w:val="Heading5"/>
        <w:rPr>
          <w:color w:val="000000" w:themeColor="text1"/>
          <w:szCs w:val="24"/>
          <w:lang w:val="en-GB"/>
        </w:rPr>
      </w:pPr>
      <w:bookmarkStart w:id="65" w:name="_Toc288789562"/>
      <w:r w:rsidRPr="00EA796A">
        <w:rPr>
          <w:color w:val="000000" w:themeColor="text1"/>
          <w:szCs w:val="24"/>
          <w:lang w:val="en-GB"/>
        </w:rPr>
        <w:t>The State provided adequate reparations for the Boneca</w:t>
      </w:r>
      <w:bookmarkEnd w:id="65"/>
    </w:p>
    <w:p w14:paraId="5205468A" w14:textId="0FF6280C" w:rsidR="00A21AB3" w:rsidRPr="00EA796A" w:rsidRDefault="00337824" w:rsidP="00EF5B4E">
      <w:pPr>
        <w:spacing w:after="0"/>
        <w:rPr>
          <w:rFonts w:cs="Times New Roman"/>
          <w:color w:val="000000" w:themeColor="text1"/>
          <w:szCs w:val="24"/>
          <w:lang w:val="en-GB"/>
        </w:rPr>
      </w:pPr>
      <w:r w:rsidRPr="00EA796A">
        <w:rPr>
          <w:rFonts w:cs="Times New Roman"/>
          <w:color w:val="000000" w:themeColor="text1"/>
          <w:szCs w:val="24"/>
          <w:lang w:val="en-US"/>
        </w:rPr>
        <w:t xml:space="preserve">Regarding </w:t>
      </w:r>
      <w:bookmarkStart w:id="66" w:name="_Toc287780514"/>
      <w:bookmarkStart w:id="67" w:name="_Toc414047148"/>
      <w:bookmarkStart w:id="68" w:name="_Toc288551028"/>
      <w:bookmarkStart w:id="69" w:name="_Toc288727704"/>
      <w:r w:rsidR="00A21AB3" w:rsidRPr="00EA796A">
        <w:rPr>
          <w:rFonts w:cs="Times New Roman"/>
          <w:color w:val="000000" w:themeColor="text1"/>
          <w:szCs w:val="24"/>
          <w:lang w:val="en-US"/>
        </w:rPr>
        <w:t xml:space="preserve">the harm the Boneca may have suffered due to the investigations, the State provided adequate reparations in various ways. </w:t>
      </w:r>
      <w:r w:rsidR="00A21AB3" w:rsidRPr="00EA796A">
        <w:rPr>
          <w:rFonts w:cs="Times New Roman"/>
          <w:color w:val="000000" w:themeColor="text1"/>
          <w:szCs w:val="24"/>
          <w:lang w:val="en-GB"/>
        </w:rPr>
        <w:t>Firstly, in line with the duty to prevent human rights violations</w:t>
      </w:r>
      <w:r w:rsidR="00A21AB3" w:rsidRPr="00EA796A">
        <w:rPr>
          <w:rFonts w:cs="Times New Roman"/>
          <w:color w:val="000000" w:themeColor="text1"/>
          <w:szCs w:val="24"/>
          <w:vertAlign w:val="superscript"/>
          <w:lang w:val="en-GB"/>
        </w:rPr>
        <w:footnoteReference w:id="126"/>
      </w:r>
      <w:r w:rsidR="00A21AB3" w:rsidRPr="00EA796A">
        <w:rPr>
          <w:rFonts w:cs="Times New Roman"/>
          <w:color w:val="000000" w:themeColor="text1"/>
          <w:szCs w:val="24"/>
          <w:lang w:val="en-GB"/>
        </w:rPr>
        <w:t xml:space="preserve">, the State was restructured in such a way as to prevent discrimination against the Boneca. </w:t>
      </w:r>
      <w:r w:rsidR="00FB1601" w:rsidRPr="00EA796A">
        <w:rPr>
          <w:rFonts w:cs="Times New Roman"/>
          <w:color w:val="000000" w:themeColor="text1"/>
          <w:szCs w:val="24"/>
          <w:lang w:val="en-GB"/>
        </w:rPr>
        <w:t>T</w:t>
      </w:r>
      <w:r w:rsidR="00A21AB3" w:rsidRPr="00EA796A">
        <w:rPr>
          <w:rFonts w:cs="Times New Roman"/>
          <w:color w:val="000000" w:themeColor="text1"/>
          <w:szCs w:val="24"/>
          <w:lang w:val="en-GB"/>
        </w:rPr>
        <w:t>he State ratified ILO Convention No. 169.</w:t>
      </w:r>
      <w:r w:rsidR="00A21AB3" w:rsidRPr="00EA796A">
        <w:rPr>
          <w:rFonts w:cs="Times New Roman"/>
          <w:color w:val="000000" w:themeColor="text1"/>
          <w:szCs w:val="24"/>
          <w:vertAlign w:val="superscript"/>
          <w:lang w:val="en-GB"/>
        </w:rPr>
        <w:footnoteReference w:id="127"/>
      </w:r>
      <w:r w:rsidR="00A21AB3" w:rsidRPr="00EA796A">
        <w:rPr>
          <w:rFonts w:cs="Times New Roman"/>
          <w:color w:val="000000" w:themeColor="text1"/>
          <w:szCs w:val="24"/>
          <w:lang w:val="en-GB"/>
        </w:rPr>
        <w:t xml:space="preserve"> Further, the new Constitution paid mind to the ethnic diversity and autonomy of groups as the Boneca, turning </w:t>
      </w:r>
      <w:r w:rsidR="00FB1601" w:rsidRPr="00EA796A">
        <w:rPr>
          <w:rFonts w:cs="Times New Roman"/>
          <w:color w:val="000000" w:themeColor="text1"/>
          <w:szCs w:val="24"/>
          <w:lang w:val="en-GB"/>
        </w:rPr>
        <w:t xml:space="preserve">the State into a </w:t>
      </w:r>
      <w:r w:rsidR="00FB1601" w:rsidRPr="00EA796A">
        <w:rPr>
          <w:rFonts w:cs="Times New Roman"/>
          <w:color w:val="000000" w:themeColor="text1"/>
          <w:szCs w:val="24"/>
          <w:lang w:val="en-GB"/>
        </w:rPr>
        <w:lastRenderedPageBreak/>
        <w:t>p</w:t>
      </w:r>
      <w:r w:rsidR="00A21AB3" w:rsidRPr="00EA796A">
        <w:rPr>
          <w:rFonts w:cs="Times New Roman"/>
          <w:color w:val="000000" w:themeColor="text1"/>
          <w:szCs w:val="24"/>
          <w:lang w:val="en-GB"/>
        </w:rPr>
        <w:t>lurinat</w:t>
      </w:r>
      <w:r w:rsidR="00FB1601" w:rsidRPr="00EA796A">
        <w:rPr>
          <w:rFonts w:cs="Times New Roman"/>
          <w:color w:val="000000" w:themeColor="text1"/>
          <w:szCs w:val="24"/>
          <w:lang w:val="en-GB"/>
        </w:rPr>
        <w:t>ional r</w:t>
      </w:r>
      <w:r w:rsidR="00A21AB3" w:rsidRPr="00EA796A">
        <w:rPr>
          <w:rFonts w:cs="Times New Roman"/>
          <w:color w:val="000000" w:themeColor="text1"/>
          <w:szCs w:val="24"/>
          <w:lang w:val="en-GB"/>
        </w:rPr>
        <w:t>epublic.</w:t>
      </w:r>
      <w:r w:rsidR="00A21AB3" w:rsidRPr="00EA796A">
        <w:rPr>
          <w:rFonts w:cs="Times New Roman"/>
          <w:color w:val="000000" w:themeColor="text1"/>
          <w:szCs w:val="24"/>
          <w:vertAlign w:val="superscript"/>
          <w:lang w:val="en-GB"/>
        </w:rPr>
        <w:footnoteReference w:id="128"/>
      </w:r>
      <w:r w:rsidR="00A21AB3" w:rsidRPr="00EA796A">
        <w:rPr>
          <w:rFonts w:cs="Times New Roman"/>
          <w:color w:val="000000" w:themeColor="text1"/>
          <w:szCs w:val="24"/>
          <w:lang w:val="en-GB"/>
        </w:rPr>
        <w:t xml:space="preserve"> This prevents the occurrence of discrimination to the fullest extent possible.</w:t>
      </w:r>
      <w:r w:rsidR="00FB1601" w:rsidRPr="00EA796A">
        <w:rPr>
          <w:rFonts w:cs="Times New Roman"/>
          <w:color w:val="000000" w:themeColor="text1"/>
          <w:szCs w:val="24"/>
          <w:lang w:val="en-GB"/>
        </w:rPr>
        <w:t xml:space="preserve"> </w:t>
      </w:r>
    </w:p>
    <w:p w14:paraId="2F7008A1" w14:textId="0DD59BDB" w:rsidR="00A21AB3" w:rsidRPr="00EA796A" w:rsidRDefault="00A21AB3" w:rsidP="00EF5B4E">
      <w:pPr>
        <w:spacing w:after="0"/>
        <w:rPr>
          <w:rFonts w:eastAsia="MS Mincho" w:cs="Times New Roman"/>
          <w:color w:val="000000" w:themeColor="text1"/>
          <w:szCs w:val="24"/>
          <w:lang w:val="en-GB"/>
        </w:rPr>
      </w:pPr>
      <w:r w:rsidRPr="00EA796A">
        <w:rPr>
          <w:rFonts w:eastAsia="MS Mincho" w:cs="Times New Roman"/>
          <w:color w:val="000000" w:themeColor="text1"/>
          <w:szCs w:val="24"/>
          <w:lang w:val="en-GB"/>
        </w:rPr>
        <w:t>The transitional justice mechanism was put into place with extensive involvement and consultation of the victims.</w:t>
      </w:r>
      <w:r w:rsidRPr="00EA796A">
        <w:rPr>
          <w:rStyle w:val="FootnoteReference"/>
          <w:rFonts w:eastAsia="MS Mincho" w:cs="Times New Roman"/>
          <w:color w:val="000000" w:themeColor="text1"/>
          <w:szCs w:val="24"/>
          <w:lang w:val="en-GB"/>
        </w:rPr>
        <w:footnoteReference w:id="129"/>
      </w:r>
      <w:r w:rsidRPr="00EA796A">
        <w:rPr>
          <w:rFonts w:eastAsia="MS Mincho" w:cs="Times New Roman"/>
          <w:color w:val="000000" w:themeColor="text1"/>
          <w:szCs w:val="24"/>
          <w:lang w:val="en-GB"/>
        </w:rPr>
        <w:t xml:space="preserve"> The Boneca were also recognised as victims</w:t>
      </w:r>
      <w:r w:rsidRPr="00EA796A">
        <w:rPr>
          <w:rStyle w:val="FootnoteReference"/>
          <w:rFonts w:eastAsia="MS Mincho" w:cs="Times New Roman"/>
          <w:color w:val="000000" w:themeColor="text1"/>
          <w:szCs w:val="24"/>
          <w:lang w:val="en-GB"/>
        </w:rPr>
        <w:footnoteReference w:id="130"/>
      </w:r>
      <w:r w:rsidRPr="00EA796A">
        <w:rPr>
          <w:rFonts w:eastAsia="MS Mincho" w:cs="Times New Roman"/>
          <w:color w:val="000000" w:themeColor="text1"/>
          <w:szCs w:val="24"/>
          <w:lang w:val="en-GB"/>
        </w:rPr>
        <w:t xml:space="preserve"> and therefore consulted, in line with the Court’s case law.</w:t>
      </w:r>
      <w:r w:rsidRPr="00EA796A">
        <w:rPr>
          <w:rFonts w:eastAsia="MS Mincho" w:cs="Times New Roman"/>
          <w:color w:val="000000" w:themeColor="text1"/>
          <w:szCs w:val="24"/>
          <w:vertAlign w:val="superscript"/>
          <w:lang w:val="en-GB"/>
        </w:rPr>
        <w:footnoteReference w:id="131"/>
      </w:r>
      <w:r w:rsidRPr="00EA796A">
        <w:rPr>
          <w:rFonts w:eastAsia="MS Mincho" w:cs="Times New Roman"/>
          <w:color w:val="000000" w:themeColor="text1"/>
          <w:szCs w:val="24"/>
          <w:lang w:val="en-GB"/>
        </w:rPr>
        <w:t xml:space="preserve"> Moreover, the State also ensured participation for the Boneca. In </w:t>
      </w:r>
      <w:r w:rsidRPr="00EA796A">
        <w:rPr>
          <w:rFonts w:eastAsia="MS Mincho" w:cs="Times New Roman"/>
          <w:i/>
          <w:color w:val="000000" w:themeColor="text1"/>
          <w:szCs w:val="24"/>
          <w:lang w:val="en-GB"/>
        </w:rPr>
        <w:t>Yatama,</w:t>
      </w:r>
      <w:r w:rsidR="002E7B70" w:rsidRPr="00EA796A">
        <w:rPr>
          <w:rFonts w:eastAsia="MS Mincho" w:cs="Times New Roman"/>
          <w:color w:val="000000" w:themeColor="text1"/>
          <w:szCs w:val="24"/>
          <w:lang w:val="en-GB"/>
        </w:rPr>
        <w:t xml:space="preserve"> the Court ordered s</w:t>
      </w:r>
      <w:r w:rsidRPr="00EA796A">
        <w:rPr>
          <w:rFonts w:eastAsia="MS Mincho" w:cs="Times New Roman"/>
          <w:color w:val="000000" w:themeColor="text1"/>
          <w:szCs w:val="24"/>
          <w:lang w:val="en-GB"/>
        </w:rPr>
        <w:t>tates to ensure the participation of Indigenous Peoples in matters regarding them.</w:t>
      </w:r>
      <w:r w:rsidRPr="00EA796A">
        <w:rPr>
          <w:rFonts w:eastAsia="MS Mincho" w:cs="Times New Roman"/>
          <w:color w:val="000000" w:themeColor="text1"/>
          <w:szCs w:val="24"/>
          <w:vertAlign w:val="superscript"/>
          <w:lang w:val="en-GB"/>
        </w:rPr>
        <w:footnoteReference w:id="132"/>
      </w:r>
      <w:r w:rsidRPr="00EA796A">
        <w:rPr>
          <w:rFonts w:eastAsia="MS Mincho" w:cs="Times New Roman"/>
          <w:color w:val="000000" w:themeColor="text1"/>
          <w:szCs w:val="24"/>
          <w:lang w:val="en-GB"/>
        </w:rPr>
        <w:t xml:space="preserve"> </w:t>
      </w:r>
      <w:r w:rsidR="00076B2D" w:rsidRPr="00EA796A">
        <w:rPr>
          <w:rFonts w:eastAsia="MS Mincho" w:cs="Times New Roman"/>
          <w:color w:val="000000" w:themeColor="text1"/>
          <w:szCs w:val="24"/>
          <w:lang w:val="en-GB"/>
        </w:rPr>
        <w:t>The right to participation for Indigenous Peoples however, needs to be exercis</w:t>
      </w:r>
      <w:r w:rsidR="002E7B70" w:rsidRPr="00EA796A">
        <w:rPr>
          <w:rFonts w:eastAsia="MS Mincho" w:cs="Times New Roman"/>
          <w:color w:val="000000" w:themeColor="text1"/>
          <w:szCs w:val="24"/>
          <w:lang w:val="en-GB"/>
        </w:rPr>
        <w:t>ed within the framework of the s</w:t>
      </w:r>
      <w:r w:rsidR="00076B2D" w:rsidRPr="00EA796A">
        <w:rPr>
          <w:rFonts w:eastAsia="MS Mincho" w:cs="Times New Roman"/>
          <w:color w:val="000000" w:themeColor="text1"/>
          <w:szCs w:val="24"/>
          <w:lang w:val="en-GB"/>
        </w:rPr>
        <w:t>tate in which they live</w:t>
      </w:r>
      <w:r w:rsidR="00076B2D" w:rsidRPr="00EA796A">
        <w:rPr>
          <w:rFonts w:eastAsia="MS Mincho" w:cs="Times New Roman"/>
          <w:color w:val="000000" w:themeColor="text1"/>
          <w:szCs w:val="24"/>
          <w:vertAlign w:val="superscript"/>
          <w:lang w:val="en-GB"/>
        </w:rPr>
        <w:footnoteReference w:id="133"/>
      </w:r>
      <w:r w:rsidR="00CE461F" w:rsidRPr="00EA796A">
        <w:rPr>
          <w:rFonts w:eastAsia="MS Mincho" w:cs="Times New Roman"/>
          <w:color w:val="000000" w:themeColor="text1"/>
          <w:szCs w:val="24"/>
          <w:lang w:val="en-GB"/>
        </w:rPr>
        <w:t>,</w:t>
      </w:r>
      <w:r w:rsidR="00076B2D" w:rsidRPr="00EA796A">
        <w:rPr>
          <w:rFonts w:eastAsia="MS Mincho" w:cs="Times New Roman"/>
          <w:color w:val="000000" w:themeColor="text1"/>
          <w:szCs w:val="24"/>
          <w:lang w:val="en-GB"/>
        </w:rPr>
        <w:t xml:space="preserve"> e.g. through the possibility of participating in a referendum. </w:t>
      </w:r>
      <w:r w:rsidRPr="00EA796A">
        <w:rPr>
          <w:rFonts w:eastAsia="MS Mincho" w:cs="Times New Roman"/>
          <w:color w:val="000000" w:themeColor="text1"/>
          <w:szCs w:val="24"/>
          <w:lang w:val="en-GB"/>
        </w:rPr>
        <w:t xml:space="preserve">Firstly, the Boneca were </w:t>
      </w:r>
      <w:r w:rsidR="00FB1601" w:rsidRPr="00EA796A">
        <w:rPr>
          <w:rFonts w:eastAsia="MS Mincho" w:cs="Times New Roman"/>
          <w:color w:val="000000" w:themeColor="text1"/>
          <w:szCs w:val="24"/>
          <w:lang w:val="en-GB"/>
        </w:rPr>
        <w:t>among the</w:t>
      </w:r>
      <w:r w:rsidRPr="00EA796A">
        <w:rPr>
          <w:rFonts w:eastAsia="MS Mincho" w:cs="Times New Roman"/>
          <w:color w:val="000000" w:themeColor="text1"/>
          <w:szCs w:val="24"/>
          <w:lang w:val="en-GB"/>
        </w:rPr>
        <w:t xml:space="preserve"> consulted v</w:t>
      </w:r>
      <w:r w:rsidR="00FB1601" w:rsidRPr="00EA796A">
        <w:rPr>
          <w:rFonts w:eastAsia="MS Mincho" w:cs="Times New Roman"/>
          <w:color w:val="000000" w:themeColor="text1"/>
          <w:szCs w:val="24"/>
          <w:lang w:val="en-GB"/>
        </w:rPr>
        <w:t>ictims who could make proposals</w:t>
      </w:r>
      <w:r w:rsidR="00076B2D" w:rsidRPr="00EA796A">
        <w:rPr>
          <w:rFonts w:eastAsia="MS Mincho" w:cs="Times New Roman"/>
          <w:color w:val="000000" w:themeColor="text1"/>
          <w:szCs w:val="24"/>
          <w:lang w:val="en-GB"/>
        </w:rPr>
        <w:t xml:space="preserve">. </w:t>
      </w:r>
      <w:r w:rsidR="00CE461F" w:rsidRPr="00EA796A">
        <w:rPr>
          <w:rFonts w:eastAsia="MS Mincho" w:cs="Times New Roman"/>
          <w:color w:val="000000" w:themeColor="text1"/>
          <w:szCs w:val="24"/>
          <w:lang w:val="en-GB"/>
        </w:rPr>
        <w:t>Secondly, a Boneca religious authority was one of the HTC members.</w:t>
      </w:r>
      <w:r w:rsidR="000631AB" w:rsidRPr="00EA796A">
        <w:rPr>
          <w:rFonts w:eastAsia="MS Mincho" w:cs="Times New Roman"/>
          <w:color w:val="000000" w:themeColor="text1"/>
          <w:szCs w:val="24"/>
          <w:vertAlign w:val="superscript"/>
          <w:lang w:val="en-GB"/>
        </w:rPr>
        <w:footnoteReference w:id="134"/>
      </w:r>
      <w:r w:rsidR="00CE461F" w:rsidRPr="00EA796A">
        <w:rPr>
          <w:rFonts w:eastAsia="MS Mincho" w:cs="Times New Roman"/>
          <w:color w:val="000000" w:themeColor="text1"/>
          <w:szCs w:val="24"/>
          <w:lang w:val="en-GB"/>
        </w:rPr>
        <w:t xml:space="preserve"> Thirdly</w:t>
      </w:r>
      <w:r w:rsidRPr="00EA796A">
        <w:rPr>
          <w:rFonts w:eastAsia="MS Mincho" w:cs="Times New Roman"/>
          <w:color w:val="000000" w:themeColor="text1"/>
          <w:szCs w:val="24"/>
          <w:lang w:val="en-GB"/>
        </w:rPr>
        <w:t>, there were educational sessions on the measures of the peace agreement ensuring the Boneca were fully informed. Lastly, they could vote on the measures like all citizens, ensuring that they did not feel any pressure to accept the transitional measures.</w:t>
      </w:r>
      <w:r w:rsidRPr="00EA796A">
        <w:rPr>
          <w:rFonts w:eastAsia="MS Mincho" w:cs="Times New Roman"/>
          <w:color w:val="000000" w:themeColor="text1"/>
          <w:szCs w:val="24"/>
          <w:vertAlign w:val="superscript"/>
          <w:lang w:val="en-GB"/>
        </w:rPr>
        <w:footnoteReference w:id="135"/>
      </w:r>
      <w:r w:rsidRPr="00EA796A">
        <w:rPr>
          <w:rFonts w:eastAsia="MS Mincho" w:cs="Times New Roman"/>
          <w:color w:val="000000" w:themeColor="text1"/>
          <w:szCs w:val="24"/>
          <w:lang w:val="en-GB"/>
        </w:rPr>
        <w:t xml:space="preserve"> This popular referendum also guaranteed participation for the Boneca. It should be stressed that 95% of the participants in the referendum voted for the ACRL and that the </w:t>
      </w:r>
      <w:r w:rsidR="00FB1601" w:rsidRPr="00EA796A">
        <w:rPr>
          <w:rFonts w:eastAsia="MS Mincho" w:cs="Times New Roman"/>
          <w:color w:val="000000" w:themeColor="text1"/>
          <w:szCs w:val="24"/>
          <w:lang w:val="en-GB"/>
        </w:rPr>
        <w:t>voter turnout among the Boneca</w:t>
      </w:r>
      <w:r w:rsidRPr="00EA796A">
        <w:rPr>
          <w:rFonts w:eastAsia="MS Mincho" w:cs="Times New Roman"/>
          <w:color w:val="000000" w:themeColor="text1"/>
          <w:szCs w:val="24"/>
          <w:lang w:val="en-GB"/>
        </w:rPr>
        <w:t xml:space="preserve"> was similar to that in the rest of the population.</w:t>
      </w:r>
      <w:r w:rsidRPr="00EA796A">
        <w:rPr>
          <w:rFonts w:eastAsia="MS Mincho" w:cs="Times New Roman"/>
          <w:color w:val="000000" w:themeColor="text1"/>
          <w:szCs w:val="24"/>
          <w:vertAlign w:val="superscript"/>
          <w:lang w:val="en-GB"/>
        </w:rPr>
        <w:footnoteReference w:id="136"/>
      </w:r>
      <w:r w:rsidR="00CE461F" w:rsidRPr="00EA796A">
        <w:rPr>
          <w:rFonts w:eastAsia="MS Mincho" w:cs="Times New Roman"/>
          <w:color w:val="000000" w:themeColor="text1"/>
          <w:szCs w:val="24"/>
          <w:lang w:val="en-GB"/>
        </w:rPr>
        <w:t xml:space="preserve"> This proves that t</w:t>
      </w:r>
      <w:r w:rsidRPr="00EA796A">
        <w:rPr>
          <w:rFonts w:eastAsia="MS Mincho" w:cs="Times New Roman"/>
          <w:color w:val="000000" w:themeColor="text1"/>
          <w:szCs w:val="24"/>
          <w:lang w:val="en-GB"/>
        </w:rPr>
        <w:t>he Boneca could and also did participate in this referendum.</w:t>
      </w:r>
      <w:r w:rsidRPr="00EA796A">
        <w:rPr>
          <w:rFonts w:eastAsia="MS Mincho" w:cs="Times New Roman"/>
          <w:color w:val="000000" w:themeColor="text1"/>
          <w:szCs w:val="24"/>
          <w:vertAlign w:val="superscript"/>
          <w:lang w:val="en-GB"/>
        </w:rPr>
        <w:footnoteReference w:id="137"/>
      </w:r>
      <w:r w:rsidR="00CE461F" w:rsidRPr="00EA796A">
        <w:rPr>
          <w:rFonts w:eastAsia="MS Mincho" w:cs="Times New Roman"/>
          <w:color w:val="000000" w:themeColor="text1"/>
          <w:szCs w:val="24"/>
          <w:highlight w:val="cyan"/>
          <w:lang w:val="en-GB"/>
        </w:rPr>
        <w:t xml:space="preserve"> </w:t>
      </w:r>
    </w:p>
    <w:p w14:paraId="7807E2EC" w14:textId="5082ACC2" w:rsidR="00A21AB3" w:rsidRPr="00EA796A" w:rsidRDefault="00A21AB3" w:rsidP="00EF5B4E">
      <w:pPr>
        <w:spacing w:after="0"/>
        <w:rPr>
          <w:rFonts w:eastAsia="MS Mincho" w:cs="Times New Roman"/>
          <w:color w:val="000000" w:themeColor="text1"/>
          <w:szCs w:val="24"/>
          <w:lang w:val="en-US"/>
        </w:rPr>
      </w:pPr>
      <w:r w:rsidRPr="00EA796A">
        <w:rPr>
          <w:rFonts w:eastAsia="MS Mincho" w:cs="Times New Roman"/>
          <w:color w:val="000000" w:themeColor="text1"/>
          <w:szCs w:val="24"/>
          <w:lang w:val="en-US"/>
        </w:rPr>
        <w:lastRenderedPageBreak/>
        <w:t>Furthermore, the State complied with the standards of the Court’s case law by granting comprehensive reparations that are collective in nature and in keeping with the recognition of their ethnicity.</w:t>
      </w:r>
      <w:r w:rsidRPr="00EA796A">
        <w:rPr>
          <w:rFonts w:eastAsia="MS Mincho" w:cs="Times New Roman"/>
          <w:color w:val="000000" w:themeColor="text1"/>
          <w:szCs w:val="24"/>
          <w:vertAlign w:val="superscript"/>
        </w:rPr>
        <w:footnoteReference w:id="138"/>
      </w:r>
      <w:r w:rsidRPr="00EA796A">
        <w:rPr>
          <w:rFonts w:eastAsia="MS Mincho" w:cs="Times New Roman"/>
          <w:color w:val="000000" w:themeColor="text1"/>
          <w:szCs w:val="24"/>
          <w:lang w:val="en-US"/>
        </w:rPr>
        <w:t xml:space="preserve"> In particular, these include measures for the restitution of ancestral territory</w:t>
      </w:r>
      <w:r w:rsidRPr="00EA796A">
        <w:rPr>
          <w:rFonts w:eastAsia="MS Mincho" w:cs="Times New Roman"/>
          <w:color w:val="000000" w:themeColor="text1"/>
          <w:szCs w:val="24"/>
          <w:vertAlign w:val="superscript"/>
        </w:rPr>
        <w:footnoteReference w:id="139"/>
      </w:r>
      <w:r w:rsidRPr="00EA796A">
        <w:rPr>
          <w:rFonts w:eastAsia="MS Mincho" w:cs="Times New Roman"/>
          <w:color w:val="000000" w:themeColor="text1"/>
          <w:szCs w:val="24"/>
          <w:lang w:val="en-US"/>
        </w:rPr>
        <w:t>, measures of satisfaction in consultation with the community</w:t>
      </w:r>
      <w:r w:rsidRPr="00EA796A">
        <w:rPr>
          <w:rFonts w:eastAsia="MS Mincho" w:cs="Times New Roman"/>
          <w:color w:val="000000" w:themeColor="text1"/>
          <w:szCs w:val="24"/>
          <w:vertAlign w:val="superscript"/>
        </w:rPr>
        <w:footnoteReference w:id="140"/>
      </w:r>
      <w:r w:rsidRPr="00EA796A">
        <w:rPr>
          <w:rFonts w:eastAsia="MS Mincho" w:cs="Times New Roman"/>
          <w:color w:val="000000" w:themeColor="text1"/>
          <w:szCs w:val="24"/>
          <w:lang w:val="en-US"/>
        </w:rPr>
        <w:t>, rehabilitation measures such as the immediate release and overturning of the convictions against area leaders</w:t>
      </w:r>
      <w:r w:rsidR="001151D0" w:rsidRPr="00EA796A">
        <w:rPr>
          <w:rFonts w:eastAsia="MS Mincho" w:cs="Times New Roman"/>
          <w:color w:val="000000" w:themeColor="text1"/>
          <w:szCs w:val="24"/>
          <w:lang w:val="en-US"/>
        </w:rPr>
        <w:t>.</w:t>
      </w:r>
      <w:r w:rsidRPr="00EA796A">
        <w:rPr>
          <w:rFonts w:eastAsia="MS Mincho" w:cs="Times New Roman"/>
          <w:color w:val="000000" w:themeColor="text1"/>
          <w:szCs w:val="24"/>
          <w:vertAlign w:val="superscript"/>
        </w:rPr>
        <w:footnoteReference w:id="141"/>
      </w:r>
      <w:r w:rsidRPr="00EA796A">
        <w:rPr>
          <w:rFonts w:eastAsia="MS Mincho" w:cs="Times New Roman"/>
          <w:color w:val="000000" w:themeColor="text1"/>
          <w:szCs w:val="24"/>
          <w:lang w:val="en-US"/>
        </w:rPr>
        <w:t xml:space="preserve"> The ratification of </w:t>
      </w:r>
      <w:r w:rsidR="001151D0" w:rsidRPr="00EA796A">
        <w:rPr>
          <w:rFonts w:eastAsia="MS Mincho" w:cs="Times New Roman"/>
          <w:color w:val="000000" w:themeColor="text1"/>
          <w:szCs w:val="24"/>
          <w:lang w:val="en-US"/>
        </w:rPr>
        <w:t>ILO 169 and establishment of the C</w:t>
      </w:r>
      <w:r w:rsidRPr="00EA796A">
        <w:rPr>
          <w:rFonts w:eastAsia="MS Mincho" w:cs="Times New Roman"/>
          <w:color w:val="000000" w:themeColor="text1"/>
          <w:szCs w:val="24"/>
          <w:lang w:val="en-US"/>
        </w:rPr>
        <w:t>onstitution</w:t>
      </w:r>
      <w:r w:rsidR="001151D0" w:rsidRPr="00EA796A">
        <w:rPr>
          <w:rFonts w:eastAsia="MS Mincho" w:cs="Times New Roman"/>
          <w:color w:val="000000" w:themeColor="text1"/>
          <w:szCs w:val="24"/>
          <w:lang w:val="en-US"/>
        </w:rPr>
        <w:t>,</w:t>
      </w:r>
      <w:r w:rsidRPr="00EA796A">
        <w:rPr>
          <w:rFonts w:eastAsia="MS Mincho" w:cs="Times New Roman"/>
          <w:color w:val="000000" w:themeColor="text1"/>
          <w:szCs w:val="24"/>
          <w:lang w:val="en-US"/>
        </w:rPr>
        <w:t xml:space="preserve"> which gave a particular scope to the ethnic diversity and autonomy of ethnic communities</w:t>
      </w:r>
      <w:r w:rsidR="001151D0" w:rsidRPr="00EA796A">
        <w:rPr>
          <w:rFonts w:eastAsia="MS Mincho" w:cs="Times New Roman"/>
          <w:color w:val="000000" w:themeColor="text1"/>
          <w:szCs w:val="24"/>
          <w:lang w:val="en-US"/>
        </w:rPr>
        <w:t>,</w:t>
      </w:r>
      <w:r w:rsidRPr="00EA796A">
        <w:rPr>
          <w:rFonts w:eastAsia="MS Mincho" w:cs="Times New Roman"/>
          <w:color w:val="000000" w:themeColor="text1"/>
          <w:szCs w:val="24"/>
          <w:lang w:val="en-US"/>
        </w:rPr>
        <w:t xml:space="preserve"> also function as guarantees of non-repetition with repercussions on the group.</w:t>
      </w:r>
      <w:r w:rsidRPr="00EA796A">
        <w:rPr>
          <w:rFonts w:eastAsia="MS Mincho" w:cs="Times New Roman"/>
          <w:color w:val="000000" w:themeColor="text1"/>
          <w:szCs w:val="24"/>
          <w:vertAlign w:val="superscript"/>
        </w:rPr>
        <w:footnoteReference w:id="142"/>
      </w:r>
    </w:p>
    <w:p w14:paraId="2946A110" w14:textId="306B37E8" w:rsidR="00BE3A14" w:rsidRPr="00EA796A" w:rsidRDefault="00D2477B" w:rsidP="00EF5B4E">
      <w:pPr>
        <w:pStyle w:val="Heading4"/>
        <w:rPr>
          <w:color w:val="000000" w:themeColor="text1"/>
        </w:rPr>
      </w:pPr>
      <w:bookmarkStart w:id="70" w:name="_Toc288789563"/>
      <w:r w:rsidRPr="00EA796A">
        <w:rPr>
          <w:color w:val="000000" w:themeColor="text1"/>
        </w:rPr>
        <w:t xml:space="preserve">2.3 </w:t>
      </w:r>
      <w:r w:rsidR="002E7B70" w:rsidRPr="00EA796A">
        <w:rPr>
          <w:color w:val="000000" w:themeColor="text1"/>
        </w:rPr>
        <w:t>There is no s</w:t>
      </w:r>
      <w:r w:rsidR="00BE3A14" w:rsidRPr="00EA796A">
        <w:rPr>
          <w:color w:val="000000" w:themeColor="text1"/>
        </w:rPr>
        <w:t xml:space="preserve">tate responsibility for the </w:t>
      </w:r>
      <w:r w:rsidR="002F497C" w:rsidRPr="00EA796A">
        <w:rPr>
          <w:color w:val="000000" w:themeColor="text1"/>
        </w:rPr>
        <w:t>death</w:t>
      </w:r>
      <w:r w:rsidR="00BE3A14" w:rsidRPr="00EA796A">
        <w:rPr>
          <w:color w:val="000000" w:themeColor="text1"/>
        </w:rPr>
        <w:t xml:space="preserve"> of </w:t>
      </w:r>
      <w:r w:rsidR="00393179" w:rsidRPr="00EA796A">
        <w:rPr>
          <w:color w:val="000000" w:themeColor="text1"/>
        </w:rPr>
        <w:t xml:space="preserve">Ms. </w:t>
      </w:r>
      <w:r w:rsidR="00BE3A14" w:rsidRPr="00EA796A">
        <w:rPr>
          <w:color w:val="000000" w:themeColor="text1"/>
        </w:rPr>
        <w:t>Rossi</w:t>
      </w:r>
      <w:bookmarkStart w:id="71" w:name="_Toc414311916"/>
      <w:bookmarkStart w:id="72" w:name="_Toc414312065"/>
      <w:bookmarkStart w:id="73" w:name="_Toc414312094"/>
      <w:bookmarkStart w:id="74" w:name="_Toc414312153"/>
      <w:bookmarkStart w:id="75" w:name="_Toc414312201"/>
      <w:bookmarkStart w:id="76" w:name="_Toc414312620"/>
      <w:bookmarkStart w:id="77" w:name="_Toc414624657"/>
      <w:bookmarkStart w:id="78" w:name="_Toc414627999"/>
      <w:bookmarkStart w:id="79" w:name="_Toc414628028"/>
      <w:bookmarkStart w:id="80" w:name="_Toc414630233"/>
      <w:bookmarkStart w:id="81" w:name="_Toc414311918"/>
      <w:bookmarkStart w:id="82" w:name="_Toc414312067"/>
      <w:bookmarkStart w:id="83" w:name="_Toc414312096"/>
      <w:bookmarkStart w:id="84" w:name="_Toc414312155"/>
      <w:bookmarkStart w:id="85" w:name="_Toc414312203"/>
      <w:bookmarkStart w:id="86" w:name="_Toc414312622"/>
      <w:bookmarkStart w:id="87" w:name="_Toc414624659"/>
      <w:bookmarkStart w:id="88" w:name="_Toc414628001"/>
      <w:bookmarkStart w:id="89" w:name="_Toc414628030"/>
      <w:bookmarkStart w:id="90" w:name="_Toc414630235"/>
      <w:bookmarkStart w:id="91" w:name="_Toc287780515"/>
      <w:bookmarkEnd w:id="66"/>
      <w:bookmarkEnd w:id="67"/>
      <w:bookmarkEnd w:id="68"/>
      <w:bookmarkEnd w:id="6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415CCD" w:rsidRPr="00EA796A">
        <w:rPr>
          <w:color w:val="000000" w:themeColor="text1"/>
        </w:rPr>
        <w:t xml:space="preserve"> (Art. 4, 5 j° 1(1) and 2 ACHR)</w:t>
      </w:r>
      <w:bookmarkEnd w:id="70"/>
    </w:p>
    <w:p w14:paraId="159D9B63" w14:textId="759BD211" w:rsidR="00BE3A14" w:rsidRPr="00EA796A" w:rsidRDefault="002F497C" w:rsidP="00EF5B4E">
      <w:pPr>
        <w:pStyle w:val="Heading5"/>
        <w:numPr>
          <w:ilvl w:val="0"/>
          <w:numId w:val="35"/>
        </w:numPr>
        <w:rPr>
          <w:color w:val="000000" w:themeColor="text1"/>
          <w:szCs w:val="24"/>
        </w:rPr>
      </w:pPr>
      <w:bookmarkStart w:id="92" w:name="_Toc414047149"/>
      <w:bookmarkStart w:id="93" w:name="_Toc288551029"/>
      <w:bookmarkStart w:id="94" w:name="_Toc288789564"/>
      <w:r w:rsidRPr="00EA796A">
        <w:rPr>
          <w:color w:val="000000" w:themeColor="text1"/>
          <w:szCs w:val="24"/>
        </w:rPr>
        <w:t xml:space="preserve">The State is </w:t>
      </w:r>
      <w:r w:rsidR="00BE3A14" w:rsidRPr="00EA796A">
        <w:rPr>
          <w:color w:val="000000" w:themeColor="text1"/>
          <w:szCs w:val="24"/>
        </w:rPr>
        <w:t>no</w:t>
      </w:r>
      <w:r w:rsidRPr="00EA796A">
        <w:rPr>
          <w:color w:val="000000" w:themeColor="text1"/>
          <w:szCs w:val="24"/>
        </w:rPr>
        <w:t>t</w:t>
      </w:r>
      <w:r w:rsidR="00BE3A14" w:rsidRPr="00EA796A">
        <w:rPr>
          <w:color w:val="000000" w:themeColor="text1"/>
          <w:szCs w:val="24"/>
        </w:rPr>
        <w:t xml:space="preserve"> </w:t>
      </w:r>
      <w:r w:rsidR="00415CCD" w:rsidRPr="00EA796A">
        <w:rPr>
          <w:color w:val="000000" w:themeColor="text1"/>
          <w:szCs w:val="24"/>
        </w:rPr>
        <w:t>responsible</w:t>
      </w:r>
      <w:r w:rsidR="00BE3A14" w:rsidRPr="00EA796A">
        <w:rPr>
          <w:color w:val="000000" w:themeColor="text1"/>
          <w:szCs w:val="24"/>
        </w:rPr>
        <w:t xml:space="preserve"> for the death of </w:t>
      </w:r>
      <w:r w:rsidR="00393179" w:rsidRPr="00EA796A">
        <w:rPr>
          <w:color w:val="000000" w:themeColor="text1"/>
          <w:szCs w:val="24"/>
        </w:rPr>
        <w:t xml:space="preserve">Ms. </w:t>
      </w:r>
      <w:r w:rsidR="00BE3A14" w:rsidRPr="00EA796A">
        <w:rPr>
          <w:color w:val="000000" w:themeColor="text1"/>
          <w:szCs w:val="24"/>
        </w:rPr>
        <w:t>Rossi</w:t>
      </w:r>
      <w:bookmarkEnd w:id="91"/>
      <w:bookmarkEnd w:id="92"/>
      <w:bookmarkEnd w:id="93"/>
      <w:bookmarkEnd w:id="94"/>
    </w:p>
    <w:p w14:paraId="5A5EDDC2" w14:textId="3C66B226" w:rsidR="00BE3A14" w:rsidRPr="00EA796A" w:rsidRDefault="001D4018" w:rsidP="00EF5B4E">
      <w:pPr>
        <w:spacing w:after="0"/>
        <w:rPr>
          <w:rFonts w:cs="Times New Roman"/>
          <w:color w:val="000000" w:themeColor="text1"/>
          <w:szCs w:val="24"/>
          <w:lang w:val="en-GB"/>
        </w:rPr>
      </w:pPr>
      <w:r w:rsidRPr="00EA796A">
        <w:rPr>
          <w:rFonts w:cs="Times New Roman"/>
          <w:color w:val="000000" w:themeColor="text1"/>
          <w:szCs w:val="24"/>
          <w:lang w:val="en-GB"/>
        </w:rPr>
        <w:t xml:space="preserve">General </w:t>
      </w:r>
      <w:r w:rsidR="00BE3A14" w:rsidRPr="00EA796A">
        <w:rPr>
          <w:rFonts w:cs="Times New Roman"/>
          <w:color w:val="000000" w:themeColor="text1"/>
          <w:szCs w:val="24"/>
          <w:lang w:val="en-GB"/>
        </w:rPr>
        <w:t xml:space="preserve">Pires’ testimony </w:t>
      </w:r>
      <w:r w:rsidR="001151D0" w:rsidRPr="00EA796A">
        <w:rPr>
          <w:rFonts w:cs="Times New Roman"/>
          <w:color w:val="000000" w:themeColor="text1"/>
          <w:szCs w:val="24"/>
          <w:lang w:val="en-GB"/>
        </w:rPr>
        <w:t>disclosed</w:t>
      </w:r>
      <w:r w:rsidRPr="00EA796A">
        <w:rPr>
          <w:rFonts w:cs="Times New Roman"/>
          <w:color w:val="000000" w:themeColor="text1"/>
          <w:szCs w:val="24"/>
          <w:lang w:val="en-GB"/>
        </w:rPr>
        <w:t xml:space="preserve"> </w:t>
      </w:r>
      <w:r w:rsidR="00BE3A14" w:rsidRPr="00EA796A">
        <w:rPr>
          <w:rFonts w:cs="Times New Roman"/>
          <w:color w:val="000000" w:themeColor="text1"/>
          <w:szCs w:val="24"/>
          <w:lang w:val="en-GB"/>
        </w:rPr>
        <w:t>that</w:t>
      </w:r>
      <w:r w:rsidRPr="00EA796A">
        <w:rPr>
          <w:rFonts w:cs="Times New Roman"/>
          <w:color w:val="000000" w:themeColor="text1"/>
          <w:szCs w:val="24"/>
          <w:lang w:val="en-GB"/>
        </w:rPr>
        <w:t xml:space="preserve"> certain members of</w:t>
      </w:r>
      <w:r w:rsidR="00BE3A14" w:rsidRPr="00EA796A">
        <w:rPr>
          <w:rFonts w:cs="Times New Roman"/>
          <w:color w:val="000000" w:themeColor="text1"/>
          <w:szCs w:val="24"/>
          <w:lang w:val="en-GB"/>
        </w:rPr>
        <w:t xml:space="preserve"> the military acted unlawfully.</w:t>
      </w:r>
      <w:r w:rsidR="00BE3A14" w:rsidRPr="00EA796A">
        <w:rPr>
          <w:rStyle w:val="FootnoteReference"/>
          <w:rFonts w:cs="Times New Roman"/>
          <w:color w:val="000000" w:themeColor="text1"/>
          <w:szCs w:val="24"/>
          <w:lang w:val="en-GB"/>
        </w:rPr>
        <w:footnoteReference w:id="143"/>
      </w:r>
      <w:r w:rsidR="00BE3A14" w:rsidRPr="00EA796A">
        <w:rPr>
          <w:rFonts w:cs="Times New Roman"/>
          <w:color w:val="000000" w:themeColor="text1"/>
          <w:szCs w:val="24"/>
          <w:lang w:val="en-GB"/>
        </w:rPr>
        <w:t xml:space="preserve"> </w:t>
      </w:r>
      <w:r w:rsidRPr="00EA796A">
        <w:rPr>
          <w:rFonts w:cs="Times New Roman"/>
          <w:color w:val="000000" w:themeColor="text1"/>
          <w:szCs w:val="24"/>
          <w:lang w:val="en-GB"/>
        </w:rPr>
        <w:t>T</w:t>
      </w:r>
      <w:r w:rsidR="00BE3A14" w:rsidRPr="00EA796A">
        <w:rPr>
          <w:rFonts w:cs="Times New Roman"/>
          <w:color w:val="000000" w:themeColor="text1"/>
          <w:szCs w:val="24"/>
          <w:lang w:val="en-GB"/>
        </w:rPr>
        <w:t xml:space="preserve">here was </w:t>
      </w:r>
      <w:r w:rsidR="00393179" w:rsidRPr="00EA796A">
        <w:rPr>
          <w:rFonts w:cs="Times New Roman"/>
          <w:color w:val="000000" w:themeColor="text1"/>
          <w:szCs w:val="24"/>
          <w:lang w:val="en-GB"/>
        </w:rPr>
        <w:t>no</w:t>
      </w:r>
      <w:r w:rsidR="00BE3A14" w:rsidRPr="00EA796A">
        <w:rPr>
          <w:rFonts w:cs="Times New Roman"/>
          <w:color w:val="000000" w:themeColor="text1"/>
          <w:szCs w:val="24"/>
          <w:lang w:val="en-GB"/>
        </w:rPr>
        <w:t xml:space="preserve"> direct order that forced these individuals to commit acts of torture, nor to murder </w:t>
      </w:r>
      <w:r w:rsidRPr="00EA796A">
        <w:rPr>
          <w:rFonts w:cs="Times New Roman"/>
          <w:color w:val="000000" w:themeColor="text1"/>
          <w:szCs w:val="24"/>
          <w:lang w:val="en-GB"/>
        </w:rPr>
        <w:t>Ms.</w:t>
      </w:r>
      <w:r w:rsidR="00BE3A14" w:rsidRPr="00EA796A">
        <w:rPr>
          <w:rFonts w:cs="Times New Roman"/>
          <w:color w:val="000000" w:themeColor="text1"/>
          <w:szCs w:val="24"/>
          <w:lang w:val="en-GB"/>
        </w:rPr>
        <w:t xml:space="preserve"> Rossi. An order to find</w:t>
      </w:r>
      <w:r w:rsidR="00BE3A14" w:rsidRPr="00EA796A">
        <w:rPr>
          <w:rStyle w:val="FootnoteReference"/>
          <w:rFonts w:cs="Times New Roman"/>
          <w:color w:val="000000" w:themeColor="text1"/>
          <w:szCs w:val="24"/>
          <w:lang w:val="en-GB"/>
        </w:rPr>
        <w:footnoteReference w:id="144"/>
      </w:r>
      <w:r w:rsidR="00BE3A14" w:rsidRPr="00EA796A">
        <w:rPr>
          <w:rFonts w:cs="Times New Roman"/>
          <w:color w:val="000000" w:themeColor="text1"/>
          <w:szCs w:val="24"/>
          <w:lang w:val="en-GB"/>
        </w:rPr>
        <w:t xml:space="preserve"> </w:t>
      </w:r>
      <w:r w:rsidR="001151D0" w:rsidRPr="00EA796A">
        <w:rPr>
          <w:rFonts w:cs="Times New Roman"/>
          <w:color w:val="000000" w:themeColor="text1"/>
          <w:szCs w:val="24"/>
          <w:lang w:val="en-GB"/>
        </w:rPr>
        <w:t xml:space="preserve">someone </w:t>
      </w:r>
      <w:r w:rsidR="00BE3A14" w:rsidRPr="00EA796A">
        <w:rPr>
          <w:rFonts w:cs="Times New Roman"/>
          <w:color w:val="000000" w:themeColor="text1"/>
          <w:szCs w:val="24"/>
          <w:lang w:val="en-GB"/>
        </w:rPr>
        <w:t>cannot be misinterpreted as an order to rape or torture. The committed acts were not condoned. The State responded thereto by conducting an investigation</w:t>
      </w:r>
      <w:r w:rsidRPr="00EA796A">
        <w:rPr>
          <w:rFonts w:cs="Times New Roman"/>
          <w:color w:val="000000" w:themeColor="text1"/>
          <w:szCs w:val="24"/>
          <w:lang w:val="en-GB"/>
        </w:rPr>
        <w:t xml:space="preserve"> into these acts, prosecuting and</w:t>
      </w:r>
      <w:r w:rsidR="00BE3A14" w:rsidRPr="00EA796A">
        <w:rPr>
          <w:rFonts w:cs="Times New Roman"/>
          <w:color w:val="000000" w:themeColor="text1"/>
          <w:szCs w:val="24"/>
          <w:lang w:val="en-GB"/>
        </w:rPr>
        <w:t xml:space="preserve"> punishing Pires, who took responsibility. </w:t>
      </w:r>
    </w:p>
    <w:p w14:paraId="046E4F8B" w14:textId="686EDF55" w:rsidR="00BE3A14" w:rsidRPr="00EA796A" w:rsidRDefault="00BE3A14" w:rsidP="00EF5B4E">
      <w:pPr>
        <w:pStyle w:val="Heading5"/>
        <w:rPr>
          <w:color w:val="000000" w:themeColor="text1"/>
          <w:szCs w:val="24"/>
        </w:rPr>
      </w:pPr>
      <w:bookmarkStart w:id="95" w:name="_Toc287780516"/>
      <w:bookmarkStart w:id="96" w:name="_Toc414047150"/>
      <w:bookmarkStart w:id="97" w:name="_Toc288551030"/>
      <w:bookmarkStart w:id="98" w:name="_Toc288789565"/>
      <w:r w:rsidRPr="00EA796A">
        <w:rPr>
          <w:color w:val="000000" w:themeColor="text1"/>
          <w:szCs w:val="24"/>
        </w:rPr>
        <w:lastRenderedPageBreak/>
        <w:t xml:space="preserve">The State fulfilled its positive obligations regarding the death of </w:t>
      </w:r>
      <w:r w:rsidR="00393179" w:rsidRPr="00EA796A">
        <w:rPr>
          <w:color w:val="000000" w:themeColor="text1"/>
          <w:szCs w:val="24"/>
        </w:rPr>
        <w:t xml:space="preserve">Ms. </w:t>
      </w:r>
      <w:r w:rsidRPr="00EA796A">
        <w:rPr>
          <w:color w:val="000000" w:themeColor="text1"/>
          <w:szCs w:val="24"/>
        </w:rPr>
        <w:t>Rossi</w:t>
      </w:r>
      <w:bookmarkEnd w:id="95"/>
      <w:bookmarkEnd w:id="96"/>
      <w:bookmarkEnd w:id="97"/>
      <w:bookmarkEnd w:id="98"/>
    </w:p>
    <w:p w14:paraId="193444F7" w14:textId="5721B80E" w:rsidR="00BA7CE1" w:rsidRPr="00EA796A" w:rsidRDefault="001151D0" w:rsidP="00EF5B4E">
      <w:pPr>
        <w:pStyle w:val="NormalWeb"/>
        <w:spacing w:before="0" w:beforeAutospacing="0" w:after="0" w:afterAutospacing="0" w:line="480" w:lineRule="auto"/>
        <w:rPr>
          <w:rFonts w:ascii="Times New Roman" w:hAnsi="Times New Roman"/>
          <w:strike/>
          <w:color w:val="000000" w:themeColor="text1"/>
          <w:sz w:val="24"/>
          <w:szCs w:val="24"/>
          <w:lang w:val="en-GB"/>
        </w:rPr>
      </w:pPr>
      <w:r w:rsidRPr="00EA796A">
        <w:rPr>
          <w:rFonts w:ascii="Times New Roman" w:hAnsi="Times New Roman"/>
          <w:color w:val="000000" w:themeColor="text1"/>
          <w:sz w:val="24"/>
          <w:szCs w:val="24"/>
          <w:lang w:val="en-GB"/>
        </w:rPr>
        <w:t xml:space="preserve">The Court has held that states </w:t>
      </w:r>
      <w:r w:rsidR="00BE3A14" w:rsidRPr="00EA796A">
        <w:rPr>
          <w:rFonts w:ascii="Times New Roman" w:hAnsi="Times New Roman"/>
          <w:color w:val="000000" w:themeColor="text1"/>
          <w:sz w:val="24"/>
          <w:szCs w:val="24"/>
          <w:lang w:val="en-GB"/>
        </w:rPr>
        <w:t>have the obligation to redress human rights violations</w:t>
      </w:r>
      <w:r w:rsidR="00393179" w:rsidRPr="00EA796A">
        <w:rPr>
          <w:rFonts w:ascii="Times New Roman" w:hAnsi="Times New Roman"/>
          <w:color w:val="000000" w:themeColor="text1"/>
          <w:sz w:val="24"/>
          <w:szCs w:val="24"/>
          <w:lang w:val="en-US"/>
        </w:rPr>
        <w:t>.</w:t>
      </w:r>
      <w:r w:rsidR="00BE3A14" w:rsidRPr="00EA796A">
        <w:rPr>
          <w:rStyle w:val="FootnoteReference"/>
          <w:rFonts w:ascii="Times New Roman" w:hAnsi="Times New Roman"/>
          <w:color w:val="000000" w:themeColor="text1"/>
          <w:sz w:val="24"/>
          <w:szCs w:val="24"/>
        </w:rPr>
        <w:footnoteReference w:id="145"/>
      </w:r>
      <w:r w:rsidR="00BE3A14" w:rsidRPr="00EA796A">
        <w:rPr>
          <w:rFonts w:ascii="Times New Roman" w:hAnsi="Times New Roman"/>
          <w:color w:val="000000" w:themeColor="text1"/>
          <w:sz w:val="24"/>
          <w:szCs w:val="24"/>
          <w:lang w:val="en-US"/>
        </w:rPr>
        <w:t xml:space="preserve"> </w:t>
      </w:r>
      <w:r w:rsidR="00BE3A14" w:rsidRPr="00EA796A">
        <w:rPr>
          <w:rFonts w:ascii="Times New Roman" w:hAnsi="Times New Roman"/>
          <w:color w:val="000000" w:themeColor="text1"/>
          <w:sz w:val="24"/>
          <w:szCs w:val="24"/>
          <w:lang w:val="en-GB"/>
        </w:rPr>
        <w:t xml:space="preserve">The State investigated </w:t>
      </w:r>
      <w:r w:rsidR="001D4018" w:rsidRPr="00EA796A">
        <w:rPr>
          <w:rFonts w:ascii="Times New Roman" w:hAnsi="Times New Roman"/>
          <w:color w:val="000000" w:themeColor="text1"/>
          <w:sz w:val="24"/>
          <w:szCs w:val="24"/>
          <w:lang w:val="en-GB"/>
        </w:rPr>
        <w:t>Ms. Rossi’s case, which</w:t>
      </w:r>
      <w:r w:rsidR="00BE3A14" w:rsidRPr="00EA796A">
        <w:rPr>
          <w:rFonts w:ascii="Times New Roman" w:hAnsi="Times New Roman"/>
          <w:color w:val="000000" w:themeColor="text1"/>
          <w:sz w:val="24"/>
          <w:szCs w:val="24"/>
          <w:lang w:val="en-GB"/>
        </w:rPr>
        <w:t xml:space="preserve"> was handled by the HTC in conjunction with </w:t>
      </w:r>
      <w:r w:rsidR="001D4018" w:rsidRPr="00EA796A">
        <w:rPr>
          <w:rFonts w:ascii="Times New Roman" w:hAnsi="Times New Roman"/>
          <w:color w:val="000000" w:themeColor="text1"/>
          <w:sz w:val="24"/>
          <w:szCs w:val="24"/>
          <w:lang w:val="en-GB"/>
        </w:rPr>
        <w:t>that</w:t>
      </w:r>
      <w:r w:rsidR="00BE3A14" w:rsidRPr="00EA796A">
        <w:rPr>
          <w:rFonts w:ascii="Times New Roman" w:hAnsi="Times New Roman"/>
          <w:color w:val="000000" w:themeColor="text1"/>
          <w:sz w:val="24"/>
          <w:szCs w:val="24"/>
          <w:lang w:val="en-GB"/>
        </w:rPr>
        <w:t xml:space="preserve"> of the kidnapped children. This investigation resulted in </w:t>
      </w:r>
      <w:r w:rsidR="001D4018" w:rsidRPr="00EA796A">
        <w:rPr>
          <w:rFonts w:ascii="Times New Roman" w:hAnsi="Times New Roman"/>
          <w:color w:val="000000" w:themeColor="text1"/>
          <w:sz w:val="24"/>
          <w:szCs w:val="24"/>
          <w:lang w:val="en-GB"/>
        </w:rPr>
        <w:t>Pires’ testimony</w:t>
      </w:r>
      <w:r w:rsidRPr="00EA796A">
        <w:rPr>
          <w:rFonts w:ascii="Times New Roman" w:hAnsi="Times New Roman"/>
          <w:color w:val="000000" w:themeColor="text1"/>
          <w:sz w:val="24"/>
          <w:szCs w:val="24"/>
          <w:lang w:val="en-GB"/>
        </w:rPr>
        <w:t>,</w:t>
      </w:r>
      <w:r w:rsidR="001D4018" w:rsidRPr="00EA796A">
        <w:rPr>
          <w:rFonts w:ascii="Times New Roman" w:hAnsi="Times New Roman"/>
          <w:color w:val="000000" w:themeColor="text1"/>
          <w:sz w:val="24"/>
          <w:szCs w:val="24"/>
          <w:lang w:val="en-GB"/>
        </w:rPr>
        <w:t xml:space="preserve"> in which</w:t>
      </w:r>
      <w:r w:rsidR="00BE3A14" w:rsidRPr="00EA796A">
        <w:rPr>
          <w:rFonts w:ascii="Times New Roman" w:hAnsi="Times New Roman"/>
          <w:color w:val="000000" w:themeColor="text1"/>
          <w:sz w:val="24"/>
          <w:szCs w:val="24"/>
          <w:lang w:val="en-GB"/>
        </w:rPr>
        <w:t xml:space="preserve"> he accepted personal and institutional responsibility for her death and torture</w:t>
      </w:r>
      <w:r w:rsidR="001D4018" w:rsidRPr="00EA796A">
        <w:rPr>
          <w:rFonts w:ascii="Times New Roman" w:hAnsi="Times New Roman"/>
          <w:color w:val="000000" w:themeColor="text1"/>
          <w:sz w:val="24"/>
          <w:szCs w:val="24"/>
          <w:lang w:val="en-GB"/>
        </w:rPr>
        <w:t>.</w:t>
      </w:r>
      <w:r w:rsidR="00BE3A14" w:rsidRPr="00EA796A">
        <w:rPr>
          <w:rStyle w:val="FootnoteReference"/>
          <w:rFonts w:ascii="Times New Roman" w:hAnsi="Times New Roman"/>
          <w:color w:val="000000" w:themeColor="text1"/>
          <w:sz w:val="24"/>
          <w:szCs w:val="24"/>
          <w:lang w:val="en-GB"/>
        </w:rPr>
        <w:footnoteReference w:id="146"/>
      </w:r>
      <w:r w:rsidR="001D4018" w:rsidRPr="00EA796A">
        <w:rPr>
          <w:rFonts w:ascii="Times New Roman" w:hAnsi="Times New Roman"/>
          <w:color w:val="000000" w:themeColor="text1"/>
          <w:sz w:val="24"/>
          <w:szCs w:val="24"/>
          <w:lang w:val="en-GB"/>
        </w:rPr>
        <w:t xml:space="preserve"> </w:t>
      </w:r>
    </w:p>
    <w:p w14:paraId="0AF67822" w14:textId="6DCC5EB8" w:rsidR="00CD1168" w:rsidRPr="00EA796A" w:rsidRDefault="00BE3A14" w:rsidP="00EF5B4E">
      <w:pPr>
        <w:pStyle w:val="NormalWeb"/>
        <w:spacing w:before="0" w:beforeAutospacing="0" w:after="0" w:afterAutospacing="0" w:line="480" w:lineRule="auto"/>
        <w:rPr>
          <w:rFonts w:ascii="Times New Roman" w:hAnsi="Times New Roman"/>
          <w:strike/>
          <w:color w:val="000000" w:themeColor="text1"/>
          <w:sz w:val="24"/>
          <w:szCs w:val="24"/>
          <w:lang w:val="en-GB"/>
        </w:rPr>
      </w:pPr>
      <w:r w:rsidRPr="00EA796A">
        <w:rPr>
          <w:rFonts w:ascii="Times New Roman" w:hAnsi="Times New Roman"/>
          <w:color w:val="000000" w:themeColor="text1"/>
          <w:sz w:val="24"/>
          <w:szCs w:val="24"/>
          <w:lang w:val="en-GB"/>
        </w:rPr>
        <w:t xml:space="preserve">The State took action by prosecuting and punishing Pires. To ensure the victims’ rights, the State put extensive measures into place to ensure an effectively functioning transitional justice mechanism, </w:t>
      </w:r>
      <w:r w:rsidR="006C1B5F" w:rsidRPr="00EA796A">
        <w:rPr>
          <w:rFonts w:ascii="Times New Roman" w:hAnsi="Times New Roman"/>
          <w:color w:val="000000" w:themeColor="text1"/>
          <w:sz w:val="24"/>
          <w:szCs w:val="24"/>
          <w:lang w:val="en-GB"/>
        </w:rPr>
        <w:t>including</w:t>
      </w:r>
      <w:r w:rsidRPr="00EA796A">
        <w:rPr>
          <w:rFonts w:ascii="Times New Roman" w:hAnsi="Times New Roman"/>
          <w:color w:val="000000" w:themeColor="text1"/>
          <w:sz w:val="24"/>
          <w:szCs w:val="24"/>
          <w:lang w:val="en-GB"/>
        </w:rPr>
        <w:t xml:space="preserve"> the HTC. The Court has accepted the use of truth commissions to clarify the facts of human rights violations.</w:t>
      </w:r>
      <w:r w:rsidRPr="00EA796A">
        <w:rPr>
          <w:rStyle w:val="FootnoteReference"/>
          <w:rFonts w:ascii="Times New Roman" w:hAnsi="Times New Roman"/>
          <w:color w:val="000000" w:themeColor="text1"/>
          <w:sz w:val="24"/>
          <w:szCs w:val="24"/>
          <w:lang w:val="en-GB"/>
        </w:rPr>
        <w:footnoteReference w:id="147"/>
      </w:r>
      <w:r w:rsidR="00CE461F" w:rsidRPr="00EA796A">
        <w:rPr>
          <w:rFonts w:ascii="Times New Roman" w:hAnsi="Times New Roman"/>
          <w:color w:val="000000" w:themeColor="text1"/>
          <w:sz w:val="24"/>
          <w:szCs w:val="24"/>
          <w:lang w:val="en-GB"/>
        </w:rPr>
        <w:t xml:space="preserve"> I</w:t>
      </w:r>
      <w:r w:rsidRPr="00EA796A">
        <w:rPr>
          <w:rFonts w:ascii="Times New Roman" w:hAnsi="Times New Roman"/>
          <w:color w:val="000000" w:themeColor="text1"/>
          <w:sz w:val="24"/>
          <w:szCs w:val="24"/>
          <w:lang w:val="en-GB"/>
        </w:rPr>
        <w:t>n this case the HTC was not a replacement for the judicial proceedings. As required by the Court’s case law</w:t>
      </w:r>
      <w:r w:rsidRPr="00EA796A">
        <w:rPr>
          <w:rStyle w:val="FootnoteReference"/>
          <w:rFonts w:ascii="Times New Roman" w:hAnsi="Times New Roman"/>
          <w:color w:val="000000" w:themeColor="text1"/>
          <w:sz w:val="24"/>
          <w:szCs w:val="24"/>
          <w:lang w:val="en-GB"/>
        </w:rPr>
        <w:footnoteReference w:id="148"/>
      </w:r>
      <w:r w:rsidRPr="00EA796A">
        <w:rPr>
          <w:rFonts w:ascii="Times New Roman" w:hAnsi="Times New Roman"/>
          <w:color w:val="000000" w:themeColor="text1"/>
          <w:sz w:val="24"/>
          <w:szCs w:val="24"/>
          <w:lang w:val="en-GB"/>
        </w:rPr>
        <w:t xml:space="preserve">, the STT offers a secondary </w:t>
      </w:r>
      <w:r w:rsidR="008308C4" w:rsidRPr="00EA796A">
        <w:rPr>
          <w:rFonts w:ascii="Times New Roman" w:hAnsi="Times New Roman"/>
          <w:color w:val="000000" w:themeColor="text1"/>
          <w:sz w:val="24"/>
          <w:szCs w:val="24"/>
          <w:lang w:val="en-GB"/>
        </w:rPr>
        <w:t xml:space="preserve">independent </w:t>
      </w:r>
      <w:r w:rsidRPr="00EA796A">
        <w:rPr>
          <w:rFonts w:ascii="Times New Roman" w:hAnsi="Times New Roman"/>
          <w:color w:val="000000" w:themeColor="text1"/>
          <w:sz w:val="24"/>
          <w:szCs w:val="24"/>
          <w:lang w:val="en-GB"/>
        </w:rPr>
        <w:t xml:space="preserve">judicial determination of the </w:t>
      </w:r>
      <w:r w:rsidR="008308C4" w:rsidRPr="00EA796A">
        <w:rPr>
          <w:rFonts w:ascii="Times New Roman" w:hAnsi="Times New Roman"/>
          <w:color w:val="000000" w:themeColor="text1"/>
          <w:sz w:val="24"/>
          <w:szCs w:val="24"/>
          <w:lang w:val="en-GB"/>
        </w:rPr>
        <w:t>facts, as it</w:t>
      </w:r>
      <w:r w:rsidRPr="00EA796A">
        <w:rPr>
          <w:rFonts w:ascii="Times New Roman" w:hAnsi="Times New Roman"/>
          <w:color w:val="000000" w:themeColor="text1"/>
          <w:sz w:val="24"/>
          <w:szCs w:val="24"/>
          <w:lang w:val="en-GB"/>
        </w:rPr>
        <w:t xml:space="preserve"> was not bound by the findings of the HTC.</w:t>
      </w:r>
      <w:r w:rsidR="008308C4" w:rsidRPr="00EA796A">
        <w:rPr>
          <w:rFonts w:ascii="Times New Roman" w:hAnsi="Times New Roman"/>
          <w:color w:val="000000" w:themeColor="text1"/>
          <w:sz w:val="24"/>
          <w:szCs w:val="24"/>
          <w:lang w:val="en-GB"/>
        </w:rPr>
        <w:t xml:space="preserve"> In the instant case, </w:t>
      </w:r>
      <w:r w:rsidRPr="00EA796A">
        <w:rPr>
          <w:rFonts w:ascii="Times New Roman" w:hAnsi="Times New Roman"/>
          <w:color w:val="000000" w:themeColor="text1"/>
          <w:sz w:val="24"/>
          <w:szCs w:val="24"/>
          <w:lang w:val="en-GB"/>
        </w:rPr>
        <w:t xml:space="preserve">Pires was prosecuted before the STT. </w:t>
      </w:r>
    </w:p>
    <w:p w14:paraId="46143526" w14:textId="5AE17295" w:rsidR="00BE3A14" w:rsidRPr="00EA796A" w:rsidRDefault="00971665" w:rsidP="00EF5B4E">
      <w:pPr>
        <w:pStyle w:val="NormalWeb"/>
        <w:spacing w:before="0" w:beforeAutospacing="0" w:after="0" w:afterAutospacing="0" w:line="480" w:lineRule="auto"/>
        <w:rPr>
          <w:rFonts w:ascii="Times New Roman" w:hAnsi="Times New Roman"/>
          <w:strike/>
          <w:color w:val="000000" w:themeColor="text1"/>
          <w:sz w:val="24"/>
          <w:szCs w:val="24"/>
          <w:lang w:val="en-GB"/>
        </w:rPr>
      </w:pPr>
      <w:r w:rsidRPr="00EA796A">
        <w:rPr>
          <w:rFonts w:ascii="Times New Roman" w:hAnsi="Times New Roman"/>
          <w:color w:val="000000" w:themeColor="text1"/>
          <w:sz w:val="24"/>
          <w:szCs w:val="24"/>
          <w:lang w:val="en-GB"/>
        </w:rPr>
        <w:t>States</w:t>
      </w:r>
      <w:r w:rsidR="00BE3A14" w:rsidRPr="00EA796A">
        <w:rPr>
          <w:rFonts w:ascii="Times New Roman" w:hAnsi="Times New Roman"/>
          <w:color w:val="000000" w:themeColor="text1"/>
          <w:sz w:val="24"/>
          <w:szCs w:val="24"/>
          <w:lang w:val="en-GB"/>
        </w:rPr>
        <w:t xml:space="preserve"> dealing with the aftermath of </w:t>
      </w:r>
      <w:r w:rsidR="008308C4" w:rsidRPr="00EA796A">
        <w:rPr>
          <w:rFonts w:ascii="Times New Roman" w:hAnsi="Times New Roman"/>
          <w:color w:val="000000" w:themeColor="text1"/>
          <w:sz w:val="24"/>
          <w:szCs w:val="24"/>
          <w:lang w:val="en-GB"/>
        </w:rPr>
        <w:t xml:space="preserve">a conflict </w:t>
      </w:r>
      <w:r w:rsidRPr="00EA796A">
        <w:rPr>
          <w:rFonts w:ascii="Times New Roman" w:hAnsi="Times New Roman"/>
          <w:color w:val="000000" w:themeColor="text1"/>
          <w:sz w:val="24"/>
          <w:szCs w:val="24"/>
          <w:lang w:val="en-GB"/>
        </w:rPr>
        <w:t>often neglect</w:t>
      </w:r>
      <w:r w:rsidR="00BE3A14" w:rsidRPr="00EA796A">
        <w:rPr>
          <w:rFonts w:ascii="Times New Roman" w:hAnsi="Times New Roman"/>
          <w:color w:val="000000" w:themeColor="text1"/>
          <w:sz w:val="24"/>
          <w:szCs w:val="24"/>
          <w:lang w:val="en-GB"/>
        </w:rPr>
        <w:t xml:space="preserve"> to prosecute state agents, who </w:t>
      </w:r>
      <w:r w:rsidRPr="00EA796A">
        <w:rPr>
          <w:rFonts w:ascii="Times New Roman" w:hAnsi="Times New Roman"/>
          <w:color w:val="000000" w:themeColor="text1"/>
          <w:sz w:val="24"/>
          <w:szCs w:val="24"/>
          <w:lang w:val="en-GB"/>
        </w:rPr>
        <w:t>have taken</w:t>
      </w:r>
      <w:r w:rsidR="00BE3A14" w:rsidRPr="00EA796A">
        <w:rPr>
          <w:rFonts w:ascii="Times New Roman" w:hAnsi="Times New Roman"/>
          <w:color w:val="000000" w:themeColor="text1"/>
          <w:sz w:val="24"/>
          <w:szCs w:val="24"/>
          <w:lang w:val="en-GB"/>
        </w:rPr>
        <w:t xml:space="preserve"> part in violations.</w:t>
      </w:r>
      <w:r w:rsidR="00BE3A14" w:rsidRPr="00EA796A">
        <w:rPr>
          <w:rStyle w:val="FootnoteReference"/>
          <w:rFonts w:ascii="Times New Roman" w:hAnsi="Times New Roman"/>
          <w:color w:val="000000" w:themeColor="text1"/>
          <w:sz w:val="24"/>
          <w:szCs w:val="24"/>
          <w:lang w:val="en-GB"/>
        </w:rPr>
        <w:footnoteReference w:id="149"/>
      </w:r>
      <w:r w:rsidR="00BE3A14" w:rsidRPr="00EA796A">
        <w:rPr>
          <w:rFonts w:ascii="Times New Roman" w:hAnsi="Times New Roman"/>
          <w:color w:val="000000" w:themeColor="text1"/>
          <w:sz w:val="24"/>
          <w:szCs w:val="24"/>
          <w:lang w:val="en-GB"/>
        </w:rPr>
        <w:t xml:space="preserve"> However, in this case the State has not shied</w:t>
      </w:r>
      <w:r w:rsidR="00CD1168" w:rsidRPr="00EA796A">
        <w:rPr>
          <w:rFonts w:ascii="Times New Roman" w:hAnsi="Times New Roman"/>
          <w:color w:val="000000" w:themeColor="text1"/>
          <w:sz w:val="24"/>
          <w:szCs w:val="24"/>
          <w:lang w:val="en-GB"/>
        </w:rPr>
        <w:t xml:space="preserve"> away from prosecuting its s</w:t>
      </w:r>
      <w:r w:rsidR="00BE3A14" w:rsidRPr="00EA796A">
        <w:rPr>
          <w:rFonts w:ascii="Times New Roman" w:hAnsi="Times New Roman"/>
          <w:color w:val="000000" w:themeColor="text1"/>
          <w:sz w:val="24"/>
          <w:szCs w:val="24"/>
          <w:lang w:val="en-GB"/>
        </w:rPr>
        <w:t>tate officials</w:t>
      </w:r>
      <w:r w:rsidR="00CD1168" w:rsidRPr="00EA796A">
        <w:rPr>
          <w:rFonts w:ascii="Times New Roman" w:hAnsi="Times New Roman"/>
          <w:color w:val="000000" w:themeColor="text1"/>
          <w:sz w:val="24"/>
          <w:szCs w:val="24"/>
          <w:lang w:val="en-GB"/>
        </w:rPr>
        <w:t>,</w:t>
      </w:r>
      <w:r w:rsidR="008308C4" w:rsidRPr="00EA796A">
        <w:rPr>
          <w:rFonts w:ascii="Times New Roman" w:hAnsi="Times New Roman"/>
          <w:color w:val="000000" w:themeColor="text1"/>
          <w:sz w:val="24"/>
          <w:szCs w:val="24"/>
          <w:lang w:val="en-GB"/>
        </w:rPr>
        <w:t xml:space="preserve"> even high ranking ones</w:t>
      </w:r>
      <w:r w:rsidR="00BE3A14" w:rsidRPr="00EA796A">
        <w:rPr>
          <w:rFonts w:ascii="Times New Roman" w:hAnsi="Times New Roman"/>
          <w:color w:val="000000" w:themeColor="text1"/>
          <w:sz w:val="24"/>
          <w:szCs w:val="24"/>
          <w:lang w:val="en-GB"/>
        </w:rPr>
        <w:t xml:space="preserve">. In </w:t>
      </w:r>
      <w:r w:rsidR="00BE3A14" w:rsidRPr="00EA796A">
        <w:rPr>
          <w:rFonts w:ascii="Times New Roman" w:hAnsi="Times New Roman"/>
          <w:i/>
          <w:color w:val="000000" w:themeColor="text1"/>
          <w:sz w:val="24"/>
          <w:szCs w:val="24"/>
          <w:lang w:val="en-GB"/>
        </w:rPr>
        <w:t>Rochela Massacre</w:t>
      </w:r>
      <w:r w:rsidR="00CD1168" w:rsidRPr="00EA796A">
        <w:rPr>
          <w:rFonts w:ascii="Times New Roman" w:hAnsi="Times New Roman"/>
          <w:i/>
          <w:color w:val="000000" w:themeColor="text1"/>
          <w:sz w:val="24"/>
          <w:szCs w:val="24"/>
          <w:lang w:val="en-GB"/>
        </w:rPr>
        <w:t>,</w:t>
      </w:r>
      <w:r w:rsidR="00BE3A14" w:rsidRPr="00EA796A">
        <w:rPr>
          <w:rFonts w:ascii="Times New Roman" w:hAnsi="Times New Roman"/>
          <w:i/>
          <w:color w:val="000000" w:themeColor="text1"/>
          <w:sz w:val="24"/>
          <w:szCs w:val="24"/>
          <w:lang w:val="en-GB"/>
        </w:rPr>
        <w:t xml:space="preserve"> </w:t>
      </w:r>
      <w:r w:rsidR="00BE3A14" w:rsidRPr="00EA796A">
        <w:rPr>
          <w:rFonts w:ascii="Times New Roman" w:hAnsi="Times New Roman"/>
          <w:color w:val="000000" w:themeColor="text1"/>
          <w:sz w:val="24"/>
          <w:szCs w:val="24"/>
          <w:lang w:val="en-GB"/>
        </w:rPr>
        <w:t xml:space="preserve">the Court held that sentences should be </w:t>
      </w:r>
      <w:r w:rsidRPr="00EA796A">
        <w:rPr>
          <w:rFonts w:ascii="Times New Roman" w:hAnsi="Times New Roman"/>
          <w:color w:val="000000" w:themeColor="text1"/>
          <w:sz w:val="24"/>
          <w:szCs w:val="24"/>
          <w:lang w:val="en-GB"/>
        </w:rPr>
        <w:t>proportionate</w:t>
      </w:r>
      <w:r w:rsidR="00BE3A14" w:rsidRPr="00EA796A">
        <w:rPr>
          <w:rFonts w:ascii="Times New Roman" w:hAnsi="Times New Roman"/>
          <w:color w:val="000000" w:themeColor="text1"/>
          <w:sz w:val="24"/>
          <w:szCs w:val="24"/>
          <w:lang w:val="en-GB"/>
        </w:rPr>
        <w:t xml:space="preserve"> to the rights violated and the culpability </w:t>
      </w:r>
      <w:r w:rsidR="00BE3A14" w:rsidRPr="00EA796A">
        <w:rPr>
          <w:rFonts w:ascii="Times New Roman" w:hAnsi="Times New Roman"/>
          <w:color w:val="000000" w:themeColor="text1"/>
          <w:sz w:val="24"/>
          <w:szCs w:val="24"/>
          <w:lang w:val="en-US"/>
        </w:rPr>
        <w:t>with which the perpetrators acted</w:t>
      </w:r>
      <w:r w:rsidR="00BE3A14" w:rsidRPr="00EA796A">
        <w:rPr>
          <w:rFonts w:ascii="Times New Roman" w:hAnsi="Times New Roman"/>
          <w:color w:val="000000" w:themeColor="text1"/>
          <w:sz w:val="24"/>
          <w:szCs w:val="24"/>
          <w:lang w:val="en-GB"/>
        </w:rPr>
        <w:t>.</w:t>
      </w:r>
      <w:r w:rsidR="009C29FC" w:rsidRPr="00EA796A">
        <w:rPr>
          <w:rFonts w:ascii="Times New Roman" w:hAnsi="Times New Roman"/>
          <w:color w:val="000000" w:themeColor="text1"/>
          <w:sz w:val="24"/>
          <w:szCs w:val="24"/>
          <w:lang w:val="en-GB"/>
        </w:rPr>
        <w:t xml:space="preserve"> </w:t>
      </w:r>
      <w:r w:rsidRPr="00EA796A">
        <w:rPr>
          <w:rFonts w:ascii="Times New Roman" w:hAnsi="Times New Roman"/>
          <w:color w:val="000000" w:themeColor="text1"/>
          <w:sz w:val="24"/>
          <w:szCs w:val="24"/>
          <w:lang w:val="en-GB"/>
        </w:rPr>
        <w:t>T</w:t>
      </w:r>
      <w:r w:rsidR="009C29FC" w:rsidRPr="00EA796A">
        <w:rPr>
          <w:rFonts w:ascii="Times New Roman" w:hAnsi="Times New Roman"/>
          <w:color w:val="000000" w:themeColor="text1"/>
          <w:sz w:val="24"/>
          <w:szCs w:val="24"/>
          <w:lang w:val="en-GB"/>
        </w:rPr>
        <w:t>he circumstances of the case</w:t>
      </w:r>
      <w:r w:rsidRPr="00EA796A">
        <w:rPr>
          <w:rFonts w:ascii="Times New Roman" w:hAnsi="Times New Roman"/>
          <w:color w:val="000000" w:themeColor="text1"/>
          <w:sz w:val="24"/>
          <w:szCs w:val="24"/>
          <w:lang w:val="en-GB"/>
        </w:rPr>
        <w:t xml:space="preserve"> should be taken into account</w:t>
      </w:r>
      <w:r w:rsidR="009C29FC" w:rsidRPr="00EA796A">
        <w:rPr>
          <w:rFonts w:ascii="Times New Roman" w:hAnsi="Times New Roman"/>
          <w:color w:val="000000" w:themeColor="text1"/>
          <w:sz w:val="24"/>
          <w:szCs w:val="24"/>
          <w:lang w:val="en-GB"/>
        </w:rPr>
        <w:t>.</w:t>
      </w:r>
      <w:r w:rsidR="00887808" w:rsidRPr="00EA796A">
        <w:rPr>
          <w:rStyle w:val="FootnoteReference"/>
          <w:rFonts w:ascii="Times New Roman" w:hAnsi="Times New Roman"/>
          <w:color w:val="000000" w:themeColor="text1"/>
          <w:sz w:val="24"/>
          <w:szCs w:val="24"/>
          <w:lang w:val="en-GB"/>
        </w:rPr>
        <w:footnoteReference w:id="150"/>
      </w:r>
      <w:r w:rsidR="00BE3A14" w:rsidRPr="00EA796A">
        <w:rPr>
          <w:rFonts w:ascii="Times New Roman" w:hAnsi="Times New Roman"/>
          <w:color w:val="000000" w:themeColor="text1"/>
          <w:sz w:val="24"/>
          <w:szCs w:val="24"/>
          <w:lang w:val="en-GB"/>
        </w:rPr>
        <w:t xml:space="preserve"> Moreover</w:t>
      </w:r>
      <w:r w:rsidR="008308C4" w:rsidRPr="00EA796A">
        <w:rPr>
          <w:rFonts w:ascii="Times New Roman" w:hAnsi="Times New Roman"/>
          <w:color w:val="000000" w:themeColor="text1"/>
          <w:sz w:val="24"/>
          <w:szCs w:val="24"/>
          <w:lang w:val="en-GB"/>
        </w:rPr>
        <w:t>,</w:t>
      </w:r>
      <w:r w:rsidR="00BE3A14" w:rsidRPr="00EA796A">
        <w:rPr>
          <w:rFonts w:ascii="Times New Roman" w:hAnsi="Times New Roman"/>
          <w:color w:val="000000" w:themeColor="text1"/>
          <w:sz w:val="24"/>
          <w:szCs w:val="24"/>
          <w:lang w:val="en-GB"/>
        </w:rPr>
        <w:t xml:space="preserve"> a </w:t>
      </w:r>
      <w:r w:rsidR="00BE3A14" w:rsidRPr="00EA796A">
        <w:rPr>
          <w:rFonts w:ascii="Times New Roman" w:hAnsi="Times New Roman"/>
          <w:color w:val="000000" w:themeColor="text1"/>
          <w:sz w:val="24"/>
          <w:szCs w:val="24"/>
          <w:lang w:val="en-GB"/>
        </w:rPr>
        <w:lastRenderedPageBreak/>
        <w:t>judicial authority should issue the punishment and determine its reason</w:t>
      </w:r>
      <w:r w:rsidR="008308C4" w:rsidRPr="00EA796A">
        <w:rPr>
          <w:rFonts w:ascii="Times New Roman" w:hAnsi="Times New Roman"/>
          <w:color w:val="000000" w:themeColor="text1"/>
          <w:sz w:val="24"/>
          <w:szCs w:val="24"/>
          <w:lang w:val="en-GB"/>
        </w:rPr>
        <w:t>s</w:t>
      </w:r>
      <w:r w:rsidR="00BE3A14" w:rsidRPr="00EA796A">
        <w:rPr>
          <w:rFonts w:ascii="Times New Roman" w:hAnsi="Times New Roman"/>
          <w:color w:val="000000" w:themeColor="text1"/>
          <w:sz w:val="24"/>
          <w:szCs w:val="24"/>
          <w:lang w:val="en-GB"/>
        </w:rPr>
        <w:t>.</w:t>
      </w:r>
      <w:r w:rsidR="00BE3A14" w:rsidRPr="00EA796A">
        <w:rPr>
          <w:rStyle w:val="FootnoteReference"/>
          <w:rFonts w:ascii="Times New Roman" w:hAnsi="Times New Roman"/>
          <w:color w:val="000000" w:themeColor="text1"/>
          <w:sz w:val="24"/>
          <w:szCs w:val="24"/>
          <w:lang w:val="en-GB"/>
        </w:rPr>
        <w:footnoteReference w:id="151"/>
      </w:r>
      <w:r w:rsidR="00BE3A14" w:rsidRPr="00EA796A">
        <w:rPr>
          <w:rFonts w:ascii="Times New Roman" w:hAnsi="Times New Roman"/>
          <w:color w:val="000000" w:themeColor="text1"/>
          <w:sz w:val="24"/>
          <w:szCs w:val="24"/>
          <w:lang w:val="en-GB"/>
        </w:rPr>
        <w:t xml:space="preserve"> </w:t>
      </w:r>
      <w:r w:rsidR="00D04E91" w:rsidRPr="00EA796A">
        <w:rPr>
          <w:rFonts w:ascii="Times New Roman" w:hAnsi="Times New Roman"/>
          <w:color w:val="000000" w:themeColor="text1"/>
          <w:sz w:val="24"/>
          <w:szCs w:val="24"/>
          <w:lang w:val="en-GB"/>
        </w:rPr>
        <w:t xml:space="preserve">As he </w:t>
      </w:r>
      <w:r w:rsidR="00B203DE" w:rsidRPr="00EA796A">
        <w:rPr>
          <w:rFonts w:ascii="Times New Roman" w:hAnsi="Times New Roman"/>
          <w:color w:val="000000" w:themeColor="text1"/>
          <w:sz w:val="24"/>
          <w:szCs w:val="24"/>
          <w:lang w:val="en-GB"/>
        </w:rPr>
        <w:t xml:space="preserve">is </w:t>
      </w:r>
      <w:r w:rsidR="00D04E91" w:rsidRPr="00EA796A">
        <w:rPr>
          <w:rFonts w:ascii="Times New Roman" w:hAnsi="Times New Roman"/>
          <w:color w:val="000000" w:themeColor="text1"/>
          <w:sz w:val="24"/>
          <w:szCs w:val="24"/>
          <w:lang w:val="en-GB"/>
        </w:rPr>
        <w:t>not the direct perpetrator, h</w:t>
      </w:r>
      <w:r w:rsidR="00BE3A14" w:rsidRPr="00EA796A">
        <w:rPr>
          <w:rFonts w:ascii="Times New Roman" w:hAnsi="Times New Roman"/>
          <w:color w:val="000000" w:themeColor="text1"/>
          <w:sz w:val="24"/>
          <w:szCs w:val="24"/>
          <w:lang w:val="en-GB"/>
        </w:rPr>
        <w:t>e was ordered to community service and to report weekly at court.</w:t>
      </w:r>
      <w:r w:rsidRPr="00EA796A">
        <w:rPr>
          <w:rFonts w:ascii="Times New Roman" w:hAnsi="Times New Roman"/>
          <w:color w:val="000000" w:themeColor="text1"/>
          <w:sz w:val="24"/>
          <w:szCs w:val="24"/>
          <w:lang w:val="en-GB"/>
        </w:rPr>
        <w:t xml:space="preserve"> T</w:t>
      </w:r>
      <w:r w:rsidR="00BE3A14" w:rsidRPr="00EA796A">
        <w:rPr>
          <w:rFonts w:ascii="Times New Roman" w:hAnsi="Times New Roman"/>
          <w:color w:val="000000" w:themeColor="text1"/>
          <w:sz w:val="24"/>
          <w:szCs w:val="24"/>
          <w:lang w:val="en-GB"/>
        </w:rPr>
        <w:t xml:space="preserve">he STT took into consideration that Pires had a leading role in the finding of the truth, </w:t>
      </w:r>
      <w:r w:rsidRPr="00EA796A">
        <w:rPr>
          <w:rFonts w:ascii="Times New Roman" w:hAnsi="Times New Roman"/>
          <w:color w:val="000000" w:themeColor="text1"/>
          <w:sz w:val="24"/>
          <w:szCs w:val="24"/>
          <w:lang w:val="en-GB"/>
        </w:rPr>
        <w:t>being</w:t>
      </w:r>
      <w:r w:rsidR="00BE3A14" w:rsidRPr="00EA796A">
        <w:rPr>
          <w:rFonts w:ascii="Times New Roman" w:hAnsi="Times New Roman"/>
          <w:color w:val="000000" w:themeColor="text1"/>
          <w:sz w:val="24"/>
          <w:szCs w:val="24"/>
          <w:lang w:val="en-GB"/>
        </w:rPr>
        <w:t xml:space="preserve"> one of the military members </w:t>
      </w:r>
      <w:r w:rsidRPr="00EA796A">
        <w:rPr>
          <w:rFonts w:ascii="Times New Roman" w:hAnsi="Times New Roman"/>
          <w:color w:val="000000" w:themeColor="text1"/>
          <w:sz w:val="24"/>
          <w:szCs w:val="24"/>
          <w:lang w:val="en-GB"/>
        </w:rPr>
        <w:t>providing</w:t>
      </w:r>
      <w:r w:rsidR="00BE3A14" w:rsidRPr="00EA796A">
        <w:rPr>
          <w:rFonts w:ascii="Times New Roman" w:hAnsi="Times New Roman"/>
          <w:color w:val="000000" w:themeColor="text1"/>
          <w:sz w:val="24"/>
          <w:szCs w:val="24"/>
          <w:lang w:val="en-GB"/>
        </w:rPr>
        <w:t xml:space="preserve"> the most information in the HTC sessions</w:t>
      </w:r>
      <w:r w:rsidR="00D35566" w:rsidRPr="00EA796A">
        <w:rPr>
          <w:rFonts w:ascii="Times New Roman" w:hAnsi="Times New Roman"/>
          <w:color w:val="000000" w:themeColor="text1"/>
          <w:sz w:val="24"/>
          <w:szCs w:val="24"/>
          <w:lang w:val="en-GB"/>
        </w:rPr>
        <w:t>, therefor giving closure to Ms. Rossi’s family.</w:t>
      </w:r>
      <w:r w:rsidR="00BE3A14" w:rsidRPr="00EA796A">
        <w:rPr>
          <w:rStyle w:val="FootnoteReference"/>
          <w:rFonts w:ascii="Times New Roman" w:hAnsi="Times New Roman"/>
          <w:color w:val="000000" w:themeColor="text1"/>
          <w:sz w:val="24"/>
          <w:szCs w:val="24"/>
          <w:lang w:val="en-GB"/>
        </w:rPr>
        <w:footnoteReference w:id="152"/>
      </w:r>
      <w:r w:rsidR="00BE3A14" w:rsidRPr="00EA796A">
        <w:rPr>
          <w:rFonts w:ascii="Times New Roman" w:hAnsi="Times New Roman"/>
          <w:color w:val="000000" w:themeColor="text1"/>
          <w:sz w:val="24"/>
          <w:szCs w:val="24"/>
          <w:lang w:val="en-GB"/>
        </w:rPr>
        <w:t xml:space="preserve"> </w:t>
      </w:r>
      <w:r w:rsidR="007F153C" w:rsidRPr="00EA796A">
        <w:rPr>
          <w:rFonts w:ascii="Times New Roman" w:hAnsi="Times New Roman"/>
          <w:color w:val="000000" w:themeColor="text1"/>
          <w:sz w:val="24"/>
          <w:szCs w:val="24"/>
          <w:lang w:val="en-GB"/>
        </w:rPr>
        <w:t>As he no longer poses</w:t>
      </w:r>
      <w:r w:rsidRPr="00EA796A">
        <w:rPr>
          <w:rFonts w:ascii="Times New Roman" w:hAnsi="Times New Roman"/>
          <w:color w:val="000000" w:themeColor="text1"/>
          <w:sz w:val="24"/>
          <w:szCs w:val="24"/>
          <w:lang w:val="en-GB"/>
        </w:rPr>
        <w:t xml:space="preserve"> a risk</w:t>
      </w:r>
      <w:r w:rsidR="007F153C" w:rsidRPr="00EA796A">
        <w:rPr>
          <w:rFonts w:ascii="Times New Roman" w:hAnsi="Times New Roman"/>
          <w:color w:val="000000" w:themeColor="text1"/>
          <w:sz w:val="24"/>
          <w:szCs w:val="24"/>
          <w:lang w:val="en-GB"/>
        </w:rPr>
        <w:t>,</w:t>
      </w:r>
      <w:r w:rsidR="00BE3A14" w:rsidRPr="00EA796A">
        <w:rPr>
          <w:rFonts w:ascii="Times New Roman" w:hAnsi="Times New Roman"/>
          <w:color w:val="000000" w:themeColor="text1"/>
          <w:sz w:val="24"/>
          <w:szCs w:val="24"/>
          <w:lang w:val="en-GB"/>
        </w:rPr>
        <w:t xml:space="preserve"> the goal of the punishment was not to exclude Pires from the reformed society. His sentence allows h</w:t>
      </w:r>
      <w:r w:rsidR="00D35566" w:rsidRPr="00EA796A">
        <w:rPr>
          <w:rFonts w:ascii="Times New Roman" w:hAnsi="Times New Roman"/>
          <w:color w:val="000000" w:themeColor="text1"/>
          <w:sz w:val="24"/>
          <w:szCs w:val="24"/>
          <w:lang w:val="en-GB"/>
        </w:rPr>
        <w:t>im to repay his debt to society</w:t>
      </w:r>
      <w:r w:rsidR="00BE3A14" w:rsidRPr="00EA796A">
        <w:rPr>
          <w:rFonts w:ascii="Times New Roman" w:hAnsi="Times New Roman"/>
          <w:color w:val="000000" w:themeColor="text1"/>
          <w:sz w:val="24"/>
          <w:szCs w:val="24"/>
          <w:lang w:val="en-GB"/>
        </w:rPr>
        <w:t xml:space="preserve">. Additionally, the punishment is justified since it was established by the STT. </w:t>
      </w:r>
      <w:r w:rsidR="00CE7ACC" w:rsidRPr="00EA796A">
        <w:rPr>
          <w:rFonts w:ascii="Times New Roman" w:hAnsi="Times New Roman"/>
          <w:color w:val="000000" w:themeColor="text1"/>
          <w:sz w:val="24"/>
          <w:szCs w:val="24"/>
          <w:lang w:val="en-GB"/>
        </w:rPr>
        <w:t>I</w:t>
      </w:r>
      <w:r w:rsidR="00BE3A14" w:rsidRPr="00EA796A">
        <w:rPr>
          <w:rFonts w:ascii="Times New Roman" w:hAnsi="Times New Roman"/>
          <w:color w:val="000000" w:themeColor="text1"/>
          <w:sz w:val="24"/>
          <w:szCs w:val="24"/>
          <w:lang w:val="en-GB"/>
        </w:rPr>
        <w:t>ts members</w:t>
      </w:r>
      <w:r w:rsidR="007F153C" w:rsidRPr="00EA796A">
        <w:rPr>
          <w:rStyle w:val="FootnoteReference"/>
          <w:rFonts w:ascii="Times New Roman" w:hAnsi="Times New Roman"/>
          <w:color w:val="000000" w:themeColor="text1"/>
          <w:sz w:val="24"/>
          <w:szCs w:val="24"/>
          <w:lang w:val="en-GB"/>
        </w:rPr>
        <w:footnoteReference w:id="153"/>
      </w:r>
      <w:r w:rsidR="00CE7ACC" w:rsidRPr="00EA796A">
        <w:rPr>
          <w:rFonts w:ascii="Times New Roman" w:hAnsi="Times New Roman"/>
          <w:color w:val="000000" w:themeColor="text1"/>
          <w:sz w:val="24"/>
          <w:szCs w:val="24"/>
          <w:lang w:val="en-GB"/>
        </w:rPr>
        <w:t xml:space="preserve"> </w:t>
      </w:r>
      <w:r w:rsidR="00BE3A14" w:rsidRPr="00EA796A">
        <w:rPr>
          <w:rFonts w:ascii="Times New Roman" w:hAnsi="Times New Roman"/>
          <w:color w:val="000000" w:themeColor="text1"/>
          <w:sz w:val="24"/>
          <w:szCs w:val="24"/>
          <w:lang w:val="en-GB"/>
        </w:rPr>
        <w:t>were appointed by a congressional committee with the backing of b</w:t>
      </w:r>
      <w:r w:rsidR="005E58A6" w:rsidRPr="00EA796A">
        <w:rPr>
          <w:rFonts w:ascii="Times New Roman" w:hAnsi="Times New Roman"/>
          <w:color w:val="000000" w:themeColor="text1"/>
          <w:sz w:val="24"/>
          <w:szCs w:val="24"/>
          <w:lang w:val="en-GB"/>
        </w:rPr>
        <w:t>oth the High Level Commission</w:t>
      </w:r>
      <w:r w:rsidR="00BE3A14" w:rsidRPr="00EA796A">
        <w:rPr>
          <w:rFonts w:ascii="Times New Roman" w:hAnsi="Times New Roman"/>
          <w:color w:val="000000" w:themeColor="text1"/>
          <w:sz w:val="24"/>
          <w:szCs w:val="24"/>
          <w:lang w:val="en-GB"/>
        </w:rPr>
        <w:t xml:space="preserve"> – which involved the victims, as well as the government, combatant and the international community – and the valued UN High Commissioner for Human rights. This procedure guaranteed that all parties were involved throughout the process.</w:t>
      </w:r>
    </w:p>
    <w:p w14:paraId="051BB2ED" w14:textId="66EC9CA7" w:rsidR="00F642A4" w:rsidRPr="00EA796A" w:rsidRDefault="00D2477B" w:rsidP="00EF5B4E">
      <w:pPr>
        <w:pStyle w:val="Heading5"/>
        <w:rPr>
          <w:color w:val="000000" w:themeColor="text1"/>
          <w:szCs w:val="24"/>
        </w:rPr>
      </w:pPr>
      <w:bookmarkStart w:id="99" w:name="_Toc288789566"/>
      <w:r w:rsidRPr="00EA796A">
        <w:rPr>
          <w:color w:val="000000" w:themeColor="text1"/>
          <w:szCs w:val="24"/>
        </w:rPr>
        <w:t>The State provided adequate reparations for Mr. and Ms. Rossi.</w:t>
      </w:r>
      <w:bookmarkEnd w:id="99"/>
      <w:r w:rsidRPr="00EA796A">
        <w:rPr>
          <w:color w:val="000000" w:themeColor="text1"/>
          <w:szCs w:val="24"/>
        </w:rPr>
        <w:t xml:space="preserve"> </w:t>
      </w:r>
    </w:p>
    <w:p w14:paraId="02D2E901" w14:textId="372B3383" w:rsidR="00765623" w:rsidRPr="00EA796A" w:rsidRDefault="00765623" w:rsidP="00EF5B4E">
      <w:pPr>
        <w:spacing w:after="0"/>
        <w:rPr>
          <w:rFonts w:cs="Times New Roman"/>
          <w:color w:val="000000" w:themeColor="text1"/>
          <w:szCs w:val="24"/>
          <w:lang w:val="en-US"/>
        </w:rPr>
      </w:pPr>
      <w:bookmarkStart w:id="100" w:name="_Toc287780517"/>
      <w:bookmarkStart w:id="101" w:name="_Toc414047151"/>
      <w:bookmarkStart w:id="102" w:name="_Toc288551031"/>
      <w:bookmarkStart w:id="103" w:name="_Toc288727705"/>
      <w:r w:rsidRPr="00EA796A">
        <w:rPr>
          <w:rFonts w:cs="Times New Roman"/>
          <w:color w:val="000000" w:themeColor="text1"/>
          <w:szCs w:val="24"/>
          <w:lang w:val="en-GB"/>
        </w:rPr>
        <w:t>The State has also complied with its obligation to provide appropriate reparations for Mr. and Ms. Rossi. They both received 25,000$</w:t>
      </w:r>
      <w:r w:rsidRPr="00EA796A">
        <w:rPr>
          <w:rStyle w:val="FootnoteReference"/>
          <w:rFonts w:cs="Times New Roman"/>
          <w:color w:val="000000" w:themeColor="text1"/>
          <w:szCs w:val="24"/>
          <w:lang w:val="en-GB"/>
        </w:rPr>
        <w:footnoteReference w:id="154"/>
      </w:r>
      <w:r w:rsidR="00CE7ACC" w:rsidRPr="00EA796A">
        <w:rPr>
          <w:rFonts w:cs="Times New Roman"/>
          <w:color w:val="000000" w:themeColor="text1"/>
          <w:szCs w:val="24"/>
          <w:lang w:val="en-GB"/>
        </w:rPr>
        <w:t>,</w:t>
      </w:r>
      <w:r w:rsidRPr="00EA796A">
        <w:rPr>
          <w:rFonts w:cs="Times New Roman"/>
          <w:color w:val="000000" w:themeColor="text1"/>
          <w:szCs w:val="24"/>
          <w:lang w:val="en-GB"/>
        </w:rPr>
        <w:t xml:space="preserve"> which </w:t>
      </w:r>
      <w:r w:rsidR="00CE7ACC" w:rsidRPr="00EA796A">
        <w:rPr>
          <w:rFonts w:cs="Times New Roman"/>
          <w:color w:val="000000" w:themeColor="text1"/>
          <w:szCs w:val="24"/>
          <w:lang w:val="en-GB"/>
        </w:rPr>
        <w:t>– as</w:t>
      </w:r>
      <w:r w:rsidRPr="00EA796A">
        <w:rPr>
          <w:rFonts w:cs="Times New Roman"/>
          <w:color w:val="000000" w:themeColor="text1"/>
          <w:szCs w:val="24"/>
          <w:lang w:val="en-GB"/>
        </w:rPr>
        <w:t xml:space="preserve"> explained above</w:t>
      </w:r>
      <w:r w:rsidR="00CE7ACC" w:rsidRPr="00EA796A">
        <w:rPr>
          <w:rStyle w:val="FootnoteReference"/>
          <w:rFonts w:cs="Times New Roman"/>
          <w:color w:val="000000" w:themeColor="text1"/>
          <w:szCs w:val="24"/>
          <w:lang w:val="en-GB"/>
        </w:rPr>
        <w:footnoteReference w:id="155"/>
      </w:r>
      <w:r w:rsidR="00CE7ACC" w:rsidRPr="00EA796A">
        <w:rPr>
          <w:rFonts w:cs="Times New Roman"/>
          <w:color w:val="000000" w:themeColor="text1"/>
          <w:szCs w:val="24"/>
          <w:lang w:val="en-GB"/>
        </w:rPr>
        <w:t xml:space="preserve"> – is</w:t>
      </w:r>
      <w:r w:rsidRPr="00EA796A">
        <w:rPr>
          <w:rFonts w:cs="Times New Roman"/>
          <w:color w:val="000000" w:themeColor="text1"/>
          <w:szCs w:val="24"/>
          <w:lang w:val="en-GB"/>
        </w:rPr>
        <w:t xml:space="preserve"> a fair and adequate reparation under the Reparations Act. The administrative program is in accordance with the standards of the Commission since it operates without prejudice of the judicial reparations.</w:t>
      </w:r>
      <w:r w:rsidRPr="00EA796A">
        <w:rPr>
          <w:rStyle w:val="FootnoteReference"/>
          <w:rFonts w:cs="Times New Roman"/>
          <w:color w:val="000000" w:themeColor="text1"/>
          <w:szCs w:val="24"/>
          <w:lang w:val="en-GB"/>
        </w:rPr>
        <w:footnoteReference w:id="156"/>
      </w:r>
      <w:r w:rsidRPr="00EA796A">
        <w:rPr>
          <w:rFonts w:cs="Times New Roman"/>
          <w:color w:val="000000" w:themeColor="text1"/>
          <w:szCs w:val="24"/>
          <w:lang w:val="en-GB"/>
        </w:rPr>
        <w:t xml:space="preserve"> Persons who receive compensation do not automatically waive their right to pursue a claim for the amount allegedly not covered by the administrative compensation.</w:t>
      </w:r>
      <w:r w:rsidRPr="00EA796A">
        <w:rPr>
          <w:rStyle w:val="FootnoteReference"/>
          <w:rFonts w:cs="Times New Roman"/>
          <w:color w:val="000000" w:themeColor="text1"/>
          <w:szCs w:val="24"/>
          <w:lang w:val="en-GB"/>
        </w:rPr>
        <w:footnoteReference w:id="157"/>
      </w:r>
      <w:r w:rsidRPr="00EA796A">
        <w:rPr>
          <w:rFonts w:cs="Times New Roman"/>
          <w:color w:val="000000" w:themeColor="text1"/>
          <w:szCs w:val="24"/>
          <w:lang w:val="en-GB"/>
        </w:rPr>
        <w:t xml:space="preserve"> Under this program Ms. Rossi’s family received 40,000$. However, they may negotiate a reparation settlement</w:t>
      </w:r>
      <w:r w:rsidRPr="00EA796A">
        <w:rPr>
          <w:rFonts w:cs="Times New Roman"/>
          <w:bCs/>
          <w:color w:val="000000" w:themeColor="text1"/>
          <w:szCs w:val="24"/>
          <w:lang w:val="en-US"/>
        </w:rPr>
        <w:t>.</w:t>
      </w:r>
      <w:r w:rsidR="00CE7ACC" w:rsidRPr="00EA796A">
        <w:rPr>
          <w:rStyle w:val="FootnoteReference"/>
          <w:rFonts w:cs="Times New Roman"/>
          <w:bCs/>
          <w:color w:val="000000" w:themeColor="text1"/>
          <w:szCs w:val="24"/>
          <w:lang w:val="en-US"/>
        </w:rPr>
        <w:footnoteReference w:id="158"/>
      </w:r>
      <w:r w:rsidRPr="00EA796A">
        <w:rPr>
          <w:rFonts w:cs="Times New Roman"/>
          <w:color w:val="000000" w:themeColor="text1"/>
          <w:szCs w:val="24"/>
          <w:lang w:val="en-US"/>
        </w:rPr>
        <w:t xml:space="preserve"> </w:t>
      </w:r>
      <w:r w:rsidRPr="00EA796A">
        <w:rPr>
          <w:rFonts w:cs="Times New Roman"/>
          <w:color w:val="000000" w:themeColor="text1"/>
          <w:szCs w:val="24"/>
          <w:lang w:val="en-GB"/>
        </w:rPr>
        <w:t xml:space="preserve">The </w:t>
      </w:r>
      <w:r w:rsidRPr="00EA796A">
        <w:rPr>
          <w:rFonts w:cs="Times New Roman"/>
          <w:bCs/>
          <w:color w:val="000000" w:themeColor="text1"/>
          <w:szCs w:val="24"/>
          <w:lang w:val="en-US"/>
        </w:rPr>
        <w:lastRenderedPageBreak/>
        <w:t>Commission has consistently approved settlements in which petitioners definitively renounce their rig</w:t>
      </w:r>
      <w:r w:rsidR="00885A7B" w:rsidRPr="00EA796A">
        <w:rPr>
          <w:rFonts w:cs="Times New Roman"/>
          <w:bCs/>
          <w:color w:val="000000" w:themeColor="text1"/>
          <w:szCs w:val="24"/>
          <w:lang w:val="en-US"/>
        </w:rPr>
        <w:t>ht to file a claim against the s</w:t>
      </w:r>
      <w:r w:rsidRPr="00EA796A">
        <w:rPr>
          <w:rFonts w:cs="Times New Roman"/>
          <w:bCs/>
          <w:color w:val="000000" w:themeColor="text1"/>
          <w:szCs w:val="24"/>
          <w:lang w:val="en-US"/>
        </w:rPr>
        <w:t>tate.</w:t>
      </w:r>
      <w:r w:rsidRPr="00EA796A">
        <w:rPr>
          <w:rStyle w:val="FootnoteReference"/>
          <w:rFonts w:cs="Times New Roman"/>
          <w:bCs/>
          <w:color w:val="000000" w:themeColor="text1"/>
          <w:szCs w:val="24"/>
          <w:lang w:val="en-US"/>
        </w:rPr>
        <w:footnoteReference w:id="159"/>
      </w:r>
      <w:r w:rsidRPr="00EA796A">
        <w:rPr>
          <w:rFonts w:cs="Times New Roman"/>
          <w:bCs/>
          <w:color w:val="000000" w:themeColor="text1"/>
          <w:szCs w:val="24"/>
          <w:lang w:val="en-US"/>
        </w:rPr>
        <w:t xml:space="preserve"> </w:t>
      </w:r>
      <w:r w:rsidRPr="00EA796A">
        <w:rPr>
          <w:rFonts w:cs="Times New Roman"/>
          <w:color w:val="000000" w:themeColor="text1"/>
          <w:szCs w:val="24"/>
          <w:lang w:val="en-GB"/>
        </w:rPr>
        <w:t xml:space="preserve">Regarding domestic settlement procedures, the Court has considered that </w:t>
      </w:r>
      <w:r w:rsidRPr="00EA796A">
        <w:rPr>
          <w:rFonts w:cs="Times New Roman"/>
          <w:i/>
          <w:iCs/>
          <w:color w:val="000000" w:themeColor="text1"/>
          <w:szCs w:val="24"/>
          <w:lang w:val="en-GB"/>
        </w:rPr>
        <w:t>“of the national mechanisms that exist to determine forms of reparation, these procedures should be evaluated and encouraged”</w:t>
      </w:r>
      <w:r w:rsidRPr="00EA796A">
        <w:rPr>
          <w:rFonts w:cs="Times New Roman"/>
          <w:color w:val="000000" w:themeColor="text1"/>
          <w:szCs w:val="24"/>
          <w:lang w:val="en-GB"/>
        </w:rPr>
        <w:t>.</w:t>
      </w:r>
      <w:r w:rsidRPr="00EA796A">
        <w:rPr>
          <w:rStyle w:val="FootnoteReference"/>
          <w:rFonts w:cs="Times New Roman"/>
          <w:color w:val="000000" w:themeColor="text1"/>
          <w:szCs w:val="24"/>
          <w:lang w:val="en-GB"/>
        </w:rPr>
        <w:footnoteReference w:id="160"/>
      </w:r>
      <w:r w:rsidRPr="00EA796A">
        <w:rPr>
          <w:rFonts w:cs="Times New Roman"/>
          <w:color w:val="000000" w:themeColor="text1"/>
          <w:szCs w:val="24"/>
          <w:lang w:val="en-US"/>
        </w:rPr>
        <w:t xml:space="preserve"> In the instant case, Mr. and Ms. Rossi</w:t>
      </w:r>
      <w:r w:rsidRPr="00EA796A">
        <w:rPr>
          <w:rFonts w:cs="Times New Roman"/>
          <w:color w:val="000000" w:themeColor="text1"/>
          <w:szCs w:val="24"/>
          <w:lang w:val="en-GB"/>
        </w:rPr>
        <w:t xml:space="preserve"> concluded an agreement with the State in which they voluntarily waived their right to sue the State in order to obtain a higher amount of compensation.</w:t>
      </w:r>
      <w:r w:rsidRPr="00EA796A">
        <w:rPr>
          <w:rStyle w:val="FootnoteReference"/>
          <w:rFonts w:cs="Times New Roman"/>
          <w:color w:val="000000" w:themeColor="text1"/>
          <w:szCs w:val="24"/>
          <w:lang w:val="en-GB"/>
        </w:rPr>
        <w:footnoteReference w:id="161"/>
      </w:r>
      <w:r w:rsidRPr="00EA796A">
        <w:rPr>
          <w:rFonts w:cs="Times New Roman"/>
          <w:color w:val="000000" w:themeColor="text1"/>
          <w:szCs w:val="24"/>
          <w:lang w:val="en-GB"/>
        </w:rPr>
        <w:t xml:space="preserve"> They were never pressu</w:t>
      </w:r>
      <w:r w:rsidR="00CE7ACC" w:rsidRPr="00EA796A">
        <w:rPr>
          <w:rFonts w:cs="Times New Roman"/>
          <w:color w:val="000000" w:themeColor="text1"/>
          <w:szCs w:val="24"/>
          <w:lang w:val="en-GB"/>
        </w:rPr>
        <w:t>red to conclude the agreement t</w:t>
      </w:r>
      <w:r w:rsidRPr="00EA796A">
        <w:rPr>
          <w:rFonts w:cs="Times New Roman"/>
          <w:color w:val="000000" w:themeColor="text1"/>
          <w:szCs w:val="24"/>
          <w:lang w:val="en-GB"/>
        </w:rPr>
        <w:t xml:space="preserve">hrough </w:t>
      </w:r>
      <w:r w:rsidR="00CE7ACC" w:rsidRPr="00EA796A">
        <w:rPr>
          <w:rFonts w:cs="Times New Roman"/>
          <w:color w:val="000000" w:themeColor="text1"/>
          <w:szCs w:val="24"/>
          <w:lang w:val="en-GB"/>
        </w:rPr>
        <w:t>which</w:t>
      </w:r>
      <w:r w:rsidRPr="00EA796A">
        <w:rPr>
          <w:rFonts w:cs="Times New Roman"/>
          <w:color w:val="000000" w:themeColor="text1"/>
          <w:szCs w:val="24"/>
          <w:lang w:val="en-GB"/>
        </w:rPr>
        <w:t xml:space="preserve"> they obtained an extra compensation of 10,000$ in total. Therefore, the total amount of 50,000$ is an adequate and fair compensation. Nevertheless, Mr. and Ms. Rossi immediately filed a petition at the international level of jurisdiction, the Inter-American Commission. This illustrates that they preferred to have direct recourse to the Commission, and thereby blatantly abused the endeavours of the State to establish a fair reparations program and to resolve the problem under its internal law. In conclusion, the State complied with its obligation</w:t>
      </w:r>
      <w:r w:rsidR="00E209C8" w:rsidRPr="00EA796A">
        <w:rPr>
          <w:rFonts w:cs="Times New Roman"/>
          <w:color w:val="000000" w:themeColor="text1"/>
          <w:szCs w:val="24"/>
          <w:lang w:val="en-GB"/>
        </w:rPr>
        <w:t>s</w:t>
      </w:r>
      <w:r w:rsidRPr="00EA796A">
        <w:rPr>
          <w:rFonts w:cs="Times New Roman"/>
          <w:color w:val="000000" w:themeColor="text1"/>
          <w:szCs w:val="24"/>
          <w:lang w:val="en-GB"/>
        </w:rPr>
        <w:t xml:space="preserve"> under Art</w:t>
      </w:r>
      <w:r w:rsidR="00E209C8" w:rsidRPr="00EA796A">
        <w:rPr>
          <w:rFonts w:cs="Times New Roman"/>
          <w:color w:val="000000" w:themeColor="text1"/>
          <w:szCs w:val="24"/>
          <w:lang w:val="en-GB"/>
        </w:rPr>
        <w:t>. 4 and 5</w:t>
      </w:r>
      <w:r w:rsidRPr="00EA796A">
        <w:rPr>
          <w:rFonts w:cs="Times New Roman"/>
          <w:color w:val="000000" w:themeColor="text1"/>
          <w:szCs w:val="24"/>
          <w:lang w:val="en-GB"/>
        </w:rPr>
        <w:t xml:space="preserve"> </w:t>
      </w:r>
      <w:r w:rsidR="00E209C8" w:rsidRPr="00EA796A">
        <w:rPr>
          <w:rFonts w:cs="Times New Roman"/>
          <w:i/>
          <w:color w:val="000000" w:themeColor="text1"/>
          <w:szCs w:val="24"/>
          <w:lang w:val="en-GB"/>
        </w:rPr>
        <w:t>juncto</w:t>
      </w:r>
      <w:r w:rsidR="00E209C8" w:rsidRPr="00EA796A">
        <w:rPr>
          <w:rFonts w:cs="Times New Roman"/>
          <w:color w:val="000000" w:themeColor="text1"/>
          <w:szCs w:val="24"/>
          <w:lang w:val="en-GB"/>
        </w:rPr>
        <w:t xml:space="preserve"> 1(1) and 2 </w:t>
      </w:r>
      <w:r w:rsidRPr="00EA796A">
        <w:rPr>
          <w:rFonts w:cs="Times New Roman"/>
          <w:color w:val="000000" w:themeColor="text1"/>
          <w:szCs w:val="24"/>
          <w:lang w:val="en-GB"/>
        </w:rPr>
        <w:t xml:space="preserve">ACHR. </w:t>
      </w:r>
    </w:p>
    <w:p w14:paraId="5B81D19B" w14:textId="3F755B50" w:rsidR="00BE3A14" w:rsidRPr="00EA796A" w:rsidRDefault="00D2477B" w:rsidP="00EF5B4E">
      <w:pPr>
        <w:pStyle w:val="Heading4"/>
        <w:rPr>
          <w:color w:val="000000" w:themeColor="text1"/>
        </w:rPr>
      </w:pPr>
      <w:bookmarkStart w:id="104" w:name="_Toc288789567"/>
      <w:r w:rsidRPr="00EA796A">
        <w:rPr>
          <w:color w:val="000000" w:themeColor="text1"/>
        </w:rPr>
        <w:t xml:space="preserve">2.4 </w:t>
      </w:r>
      <w:r w:rsidR="002E7B70" w:rsidRPr="00EA796A">
        <w:rPr>
          <w:color w:val="000000" w:themeColor="text1"/>
        </w:rPr>
        <w:t>There is no s</w:t>
      </w:r>
      <w:r w:rsidR="00BE3A14" w:rsidRPr="00EA796A">
        <w:rPr>
          <w:color w:val="000000" w:themeColor="text1"/>
        </w:rPr>
        <w:t xml:space="preserve">tate responsibility for the death of </w:t>
      </w:r>
      <w:bookmarkStart w:id="105" w:name="_Toc414311922"/>
      <w:bookmarkStart w:id="106" w:name="_Toc414312071"/>
      <w:bookmarkStart w:id="107" w:name="_Toc414312100"/>
      <w:bookmarkStart w:id="108" w:name="_Toc414312159"/>
      <w:bookmarkStart w:id="109" w:name="_Toc414312207"/>
      <w:bookmarkStart w:id="110" w:name="_Toc414312626"/>
      <w:bookmarkStart w:id="111" w:name="_Toc414624663"/>
      <w:bookmarkStart w:id="112" w:name="_Toc414628005"/>
      <w:bookmarkStart w:id="113" w:name="_Toc414628034"/>
      <w:bookmarkStart w:id="114" w:name="_Toc414630239"/>
      <w:bookmarkStart w:id="115" w:name="_Toc287780518"/>
      <w:bookmarkEnd w:id="100"/>
      <w:bookmarkEnd w:id="101"/>
      <w:bookmarkEnd w:id="102"/>
      <w:bookmarkEnd w:id="103"/>
      <w:bookmarkEnd w:id="105"/>
      <w:bookmarkEnd w:id="106"/>
      <w:bookmarkEnd w:id="107"/>
      <w:bookmarkEnd w:id="108"/>
      <w:bookmarkEnd w:id="109"/>
      <w:bookmarkEnd w:id="110"/>
      <w:bookmarkEnd w:id="111"/>
      <w:bookmarkEnd w:id="112"/>
      <w:bookmarkEnd w:id="113"/>
      <w:bookmarkEnd w:id="114"/>
      <w:r w:rsidR="008740AF" w:rsidRPr="00EA796A">
        <w:rPr>
          <w:color w:val="000000" w:themeColor="text1"/>
          <w:lang w:val="en-GB"/>
        </w:rPr>
        <w:t xml:space="preserve">Aníbal </w:t>
      </w:r>
      <w:r w:rsidR="008740AF" w:rsidRPr="00EA796A">
        <w:rPr>
          <w:color w:val="000000" w:themeColor="text1"/>
        </w:rPr>
        <w:t>López</w:t>
      </w:r>
      <w:r w:rsidR="00415CCD" w:rsidRPr="00EA796A">
        <w:rPr>
          <w:color w:val="000000" w:themeColor="text1"/>
        </w:rPr>
        <w:t xml:space="preserve"> (Art. 4</w:t>
      </w:r>
      <w:r w:rsidR="00C53226" w:rsidRPr="00EA796A">
        <w:rPr>
          <w:color w:val="000000" w:themeColor="text1"/>
        </w:rPr>
        <w:t>, 19</w:t>
      </w:r>
      <w:r w:rsidR="00415CCD" w:rsidRPr="00EA796A">
        <w:rPr>
          <w:color w:val="000000" w:themeColor="text1"/>
        </w:rPr>
        <w:t xml:space="preserve"> j° </w:t>
      </w:r>
      <w:r w:rsidR="00C53226" w:rsidRPr="00EA796A">
        <w:rPr>
          <w:color w:val="000000" w:themeColor="text1"/>
        </w:rPr>
        <w:t>1(1) and 2 ACHR)</w:t>
      </w:r>
      <w:bookmarkEnd w:id="104"/>
    </w:p>
    <w:p w14:paraId="1E5303B3" w14:textId="1CCDF01D" w:rsidR="00BE3A14" w:rsidRPr="00EA796A" w:rsidRDefault="00BE3A14" w:rsidP="00EF5B4E">
      <w:pPr>
        <w:pStyle w:val="Heading5"/>
        <w:numPr>
          <w:ilvl w:val="0"/>
          <w:numId w:val="36"/>
        </w:numPr>
        <w:rPr>
          <w:color w:val="000000" w:themeColor="text1"/>
          <w:szCs w:val="24"/>
          <w:lang w:val="en-GB"/>
        </w:rPr>
      </w:pPr>
      <w:bookmarkStart w:id="116" w:name="_Toc414047152"/>
      <w:bookmarkStart w:id="117" w:name="_Toc288551032"/>
      <w:bookmarkStart w:id="118" w:name="_Toc288789568"/>
      <w:r w:rsidRPr="00EA796A">
        <w:rPr>
          <w:color w:val="000000" w:themeColor="text1"/>
          <w:szCs w:val="24"/>
          <w:lang w:val="en-GB"/>
        </w:rPr>
        <w:t xml:space="preserve">The State did not violate </w:t>
      </w:r>
      <w:r w:rsidR="008740AF" w:rsidRPr="00EA796A">
        <w:rPr>
          <w:color w:val="000000" w:themeColor="text1"/>
          <w:szCs w:val="24"/>
          <w:lang w:val="en-GB"/>
        </w:rPr>
        <w:t xml:space="preserve">Aníbal </w:t>
      </w:r>
      <w:r w:rsidR="008740AF" w:rsidRPr="00EA796A">
        <w:rPr>
          <w:color w:val="000000" w:themeColor="text1"/>
          <w:szCs w:val="24"/>
        </w:rPr>
        <w:t xml:space="preserve">López’ </w:t>
      </w:r>
      <w:r w:rsidRPr="00EA796A">
        <w:rPr>
          <w:color w:val="000000" w:themeColor="text1"/>
          <w:szCs w:val="24"/>
          <w:lang w:val="en-GB"/>
        </w:rPr>
        <w:t>right to life</w:t>
      </w:r>
      <w:bookmarkEnd w:id="115"/>
      <w:bookmarkEnd w:id="116"/>
      <w:bookmarkEnd w:id="117"/>
      <w:bookmarkEnd w:id="118"/>
    </w:p>
    <w:p w14:paraId="03BF49D4" w14:textId="18B4E011" w:rsidR="00D22395" w:rsidRPr="00EA796A" w:rsidRDefault="003B4D3E" w:rsidP="00EF5B4E">
      <w:pPr>
        <w:spacing w:after="0"/>
        <w:rPr>
          <w:rFonts w:cs="Times New Roman"/>
          <w:color w:val="000000" w:themeColor="text1"/>
          <w:szCs w:val="24"/>
          <w:lang w:val="en-GB"/>
        </w:rPr>
      </w:pPr>
      <w:r w:rsidRPr="00EA796A">
        <w:rPr>
          <w:rFonts w:cs="Times New Roman"/>
          <w:color w:val="000000" w:themeColor="text1"/>
          <w:szCs w:val="24"/>
          <w:lang w:val="en-GB"/>
        </w:rPr>
        <w:t>Firstly,</w:t>
      </w:r>
      <w:r w:rsidR="00D22395" w:rsidRPr="00EA796A">
        <w:rPr>
          <w:rFonts w:cs="Times New Roman"/>
          <w:color w:val="000000" w:themeColor="text1"/>
          <w:szCs w:val="24"/>
          <w:lang w:val="en-GB"/>
        </w:rPr>
        <w:t xml:space="preserve"> the State stresses the fact that Mr. Guadamuz and Mr. Mukundi admitted that the children died as a result of a military error on the part of the captors.</w:t>
      </w:r>
      <w:r w:rsidR="00D22395" w:rsidRPr="00EA796A">
        <w:rPr>
          <w:rStyle w:val="FootnoteReference"/>
          <w:rFonts w:cs="Times New Roman"/>
          <w:color w:val="000000" w:themeColor="text1"/>
          <w:szCs w:val="24"/>
          <w:lang w:val="en-GB"/>
        </w:rPr>
        <w:footnoteReference w:id="162"/>
      </w:r>
      <w:r w:rsidR="00D22395" w:rsidRPr="00EA796A">
        <w:rPr>
          <w:rFonts w:cs="Times New Roman"/>
          <w:color w:val="000000" w:themeColor="text1"/>
          <w:szCs w:val="24"/>
          <w:lang w:val="en-GB"/>
        </w:rPr>
        <w:t xml:space="preserve"> Therefore, the State is not responsible for the death of Aníbal</w:t>
      </w:r>
      <w:r w:rsidRPr="00EA796A">
        <w:rPr>
          <w:rFonts w:cs="Times New Roman"/>
          <w:color w:val="000000" w:themeColor="text1"/>
          <w:szCs w:val="24"/>
          <w:lang w:val="en-GB"/>
        </w:rPr>
        <w:t xml:space="preserve"> </w:t>
      </w:r>
      <w:r w:rsidRPr="00EA796A">
        <w:rPr>
          <w:rFonts w:cs="Times New Roman"/>
          <w:color w:val="000000" w:themeColor="text1"/>
          <w:szCs w:val="24"/>
        </w:rPr>
        <w:t>López</w:t>
      </w:r>
      <w:r w:rsidR="00D22395" w:rsidRPr="00EA796A">
        <w:rPr>
          <w:rFonts w:cs="Times New Roman"/>
          <w:color w:val="000000" w:themeColor="text1"/>
          <w:szCs w:val="24"/>
          <w:lang w:val="en-GB"/>
        </w:rPr>
        <w:t xml:space="preserve">. </w:t>
      </w:r>
    </w:p>
    <w:p w14:paraId="5C7FFBB1" w14:textId="5002AB31" w:rsidR="00D22395" w:rsidRPr="00EA796A" w:rsidRDefault="00D22395" w:rsidP="00EF5B4E">
      <w:pPr>
        <w:spacing w:after="0"/>
        <w:rPr>
          <w:rFonts w:cs="Times New Roman"/>
          <w:color w:val="000000" w:themeColor="text1"/>
          <w:szCs w:val="24"/>
          <w:lang w:val="en-GB"/>
        </w:rPr>
      </w:pPr>
      <w:r w:rsidRPr="00EA796A">
        <w:rPr>
          <w:rFonts w:cs="Times New Roman"/>
          <w:color w:val="000000" w:themeColor="text1"/>
          <w:szCs w:val="24"/>
          <w:lang w:val="en-GB"/>
        </w:rPr>
        <w:lastRenderedPageBreak/>
        <w:t xml:space="preserve">However, if the Court would find that there is not enough evidence whether </w:t>
      </w:r>
      <w:r w:rsidR="00EE3F3D" w:rsidRPr="00EA796A">
        <w:rPr>
          <w:rFonts w:cs="Times New Roman"/>
          <w:color w:val="000000" w:themeColor="text1"/>
          <w:szCs w:val="24"/>
          <w:lang w:val="en-GB"/>
        </w:rPr>
        <w:t xml:space="preserve">Aníbal </w:t>
      </w:r>
      <w:r w:rsidR="003B4D3E" w:rsidRPr="00EA796A">
        <w:rPr>
          <w:rFonts w:cs="Times New Roman"/>
          <w:color w:val="000000" w:themeColor="text1"/>
          <w:szCs w:val="24"/>
        </w:rPr>
        <w:t>López</w:t>
      </w:r>
      <w:r w:rsidR="003B4D3E" w:rsidRPr="00EA796A">
        <w:rPr>
          <w:rFonts w:cs="Times New Roman"/>
          <w:color w:val="000000" w:themeColor="text1"/>
          <w:szCs w:val="24"/>
          <w:lang w:val="en-GB"/>
        </w:rPr>
        <w:t xml:space="preserve"> died in the hands </w:t>
      </w:r>
      <w:r w:rsidRPr="00EA796A">
        <w:rPr>
          <w:rFonts w:cs="Times New Roman"/>
          <w:color w:val="000000" w:themeColor="text1"/>
          <w:szCs w:val="24"/>
          <w:lang w:val="en-GB"/>
        </w:rPr>
        <w:t>of the captors, the State emphasize</w:t>
      </w:r>
      <w:r w:rsidR="003B4D3E" w:rsidRPr="00EA796A">
        <w:rPr>
          <w:rFonts w:cs="Times New Roman"/>
          <w:color w:val="000000" w:themeColor="text1"/>
          <w:szCs w:val="24"/>
          <w:lang w:val="en-GB"/>
        </w:rPr>
        <w:t>s</w:t>
      </w:r>
      <w:r w:rsidRPr="00EA796A">
        <w:rPr>
          <w:rFonts w:cs="Times New Roman"/>
          <w:color w:val="000000" w:themeColor="text1"/>
          <w:szCs w:val="24"/>
          <w:lang w:val="en-GB"/>
        </w:rPr>
        <w:t xml:space="preserve"> that its rescue operation was in concurrence with the principles of international human rights law</w:t>
      </w:r>
      <w:r w:rsidR="007C38B0" w:rsidRPr="00EA796A">
        <w:rPr>
          <w:rFonts w:cs="Times New Roman"/>
          <w:color w:val="000000" w:themeColor="text1"/>
          <w:szCs w:val="24"/>
          <w:lang w:val="en-GB"/>
        </w:rPr>
        <w:t xml:space="preserve"> (“IHRL”)</w:t>
      </w:r>
      <w:r w:rsidRPr="00EA796A">
        <w:rPr>
          <w:rFonts w:cs="Times New Roman"/>
          <w:color w:val="000000" w:themeColor="text1"/>
          <w:szCs w:val="24"/>
          <w:lang w:val="en-GB"/>
        </w:rPr>
        <w:t>, as well as those of IHL.</w:t>
      </w:r>
      <w:r w:rsidRPr="00EA796A">
        <w:rPr>
          <w:rStyle w:val="FootnoteReference"/>
          <w:rFonts w:cs="Times New Roman"/>
          <w:color w:val="000000" w:themeColor="text1"/>
          <w:szCs w:val="24"/>
          <w:lang w:val="en-GB"/>
        </w:rPr>
        <w:t xml:space="preserve"> </w:t>
      </w:r>
      <w:r w:rsidRPr="00EA796A">
        <w:rPr>
          <w:rFonts w:cs="Times New Roman"/>
          <w:color w:val="000000" w:themeColor="text1"/>
          <w:szCs w:val="24"/>
          <w:lang w:val="en-GB"/>
        </w:rPr>
        <w:t xml:space="preserve">More specifically, as described below, the use of force was absolutely necessary and proportionate. It was grounded on the existence of exceptional circumstances and only occurred </w:t>
      </w:r>
      <w:r w:rsidR="003B4D3E" w:rsidRPr="00EA796A">
        <w:rPr>
          <w:rFonts w:cs="Times New Roman"/>
          <w:color w:val="000000" w:themeColor="text1"/>
          <w:szCs w:val="24"/>
          <w:lang w:val="en-GB"/>
        </w:rPr>
        <w:t>when</w:t>
      </w:r>
      <w:r w:rsidRPr="00EA796A">
        <w:rPr>
          <w:rFonts w:cs="Times New Roman"/>
          <w:color w:val="000000" w:themeColor="text1"/>
          <w:szCs w:val="24"/>
          <w:lang w:val="en-GB"/>
        </w:rPr>
        <w:t xml:space="preserve"> all other measures failed.</w:t>
      </w:r>
      <w:r w:rsidRPr="00EA796A">
        <w:rPr>
          <w:rStyle w:val="FootnoteReference"/>
          <w:rFonts w:cs="Times New Roman"/>
          <w:color w:val="000000" w:themeColor="text1"/>
          <w:szCs w:val="24"/>
          <w:lang w:val="en-GB"/>
        </w:rPr>
        <w:footnoteReference w:id="163"/>
      </w:r>
    </w:p>
    <w:p w14:paraId="34E79F8D" w14:textId="072910E4" w:rsidR="00D22395" w:rsidRPr="00EA796A" w:rsidRDefault="00D22395" w:rsidP="00EF5B4E">
      <w:pPr>
        <w:spacing w:after="0"/>
        <w:rPr>
          <w:rFonts w:cs="Times New Roman"/>
          <w:color w:val="000000" w:themeColor="text1"/>
          <w:szCs w:val="24"/>
          <w:lang w:val="en-GB"/>
        </w:rPr>
      </w:pPr>
      <w:r w:rsidRPr="00EA796A">
        <w:rPr>
          <w:rFonts w:cs="Times New Roman"/>
          <w:color w:val="000000" w:themeColor="text1"/>
          <w:szCs w:val="24"/>
          <w:lang w:val="en-GB"/>
        </w:rPr>
        <w:t xml:space="preserve"> Art. 4(1) ACHR establishes that the right to life cannot be suspended under any circumstances.</w:t>
      </w:r>
      <w:r w:rsidRPr="00EA796A">
        <w:rPr>
          <w:rStyle w:val="FootnoteReference"/>
          <w:rFonts w:cs="Times New Roman"/>
          <w:color w:val="000000" w:themeColor="text1"/>
          <w:szCs w:val="24"/>
          <w:lang w:val="en-GB"/>
        </w:rPr>
        <w:footnoteReference w:id="164"/>
      </w:r>
      <w:r w:rsidRPr="00EA796A">
        <w:rPr>
          <w:rFonts w:cs="Times New Roman"/>
          <w:color w:val="000000" w:themeColor="text1"/>
          <w:szCs w:val="24"/>
          <w:lang w:val="en-GB"/>
        </w:rPr>
        <w:t xml:space="preserve"> </w:t>
      </w:r>
      <w:r w:rsidRPr="00EA796A">
        <w:rPr>
          <w:rFonts w:eastAsia="Times New Roman" w:cs="Times New Roman"/>
          <w:color w:val="000000" w:themeColor="text1"/>
          <w:szCs w:val="24"/>
          <w:lang w:val="en-GB" w:eastAsia="nl-BE"/>
        </w:rPr>
        <w:t>Nevertheless, the State has the right and obligation to protect its population when they are being threatened by violence.</w:t>
      </w:r>
      <w:r w:rsidRPr="00EA796A">
        <w:rPr>
          <w:rStyle w:val="FootnoteReference"/>
          <w:rFonts w:eastAsia="Times New Roman" w:cs="Times New Roman"/>
          <w:color w:val="000000" w:themeColor="text1"/>
          <w:szCs w:val="24"/>
          <w:lang w:val="en-GB" w:eastAsia="nl-BE"/>
        </w:rPr>
        <w:footnoteReference w:id="165"/>
      </w:r>
      <w:r w:rsidRPr="00EA796A">
        <w:rPr>
          <w:rFonts w:eastAsia="Times New Roman" w:cs="Times New Roman"/>
          <w:color w:val="000000" w:themeColor="text1"/>
          <w:szCs w:val="24"/>
          <w:lang w:val="en-GB" w:eastAsia="nl-BE"/>
        </w:rPr>
        <w:t xml:space="preserve"> In doing so, the law enforcement may use force to protect themselves or other persons from imminent threat of death or serious injury, or otherwise to restore public security, law and order.</w:t>
      </w:r>
      <w:r w:rsidRPr="00EA796A">
        <w:rPr>
          <w:rStyle w:val="FootnoteReference"/>
          <w:rFonts w:eastAsia="Times New Roman" w:cs="Times New Roman"/>
          <w:color w:val="000000" w:themeColor="text1"/>
          <w:szCs w:val="24"/>
          <w:lang w:val="en-GB" w:eastAsia="nl-BE"/>
        </w:rPr>
        <w:footnoteReference w:id="166"/>
      </w:r>
      <w:r w:rsidRPr="00EA796A">
        <w:rPr>
          <w:rFonts w:eastAsia="Times New Roman" w:cs="Times New Roman"/>
          <w:color w:val="000000" w:themeColor="text1"/>
          <w:szCs w:val="24"/>
          <w:lang w:val="en-GB" w:eastAsia="nl-BE"/>
        </w:rPr>
        <w:t xml:space="preserve"> The Court has explained that, in such </w:t>
      </w:r>
      <w:r w:rsidRPr="00EA796A">
        <w:rPr>
          <w:rFonts w:cs="Times New Roman"/>
          <w:color w:val="000000" w:themeColor="text1"/>
          <w:szCs w:val="24"/>
          <w:lang w:val="en-GB"/>
        </w:rPr>
        <w:t>extraordinary circumstances</w:t>
      </w:r>
      <w:r w:rsidR="007C38B0" w:rsidRPr="00EA796A">
        <w:rPr>
          <w:rFonts w:eastAsia="Times New Roman" w:cs="Times New Roman"/>
          <w:color w:val="000000" w:themeColor="text1"/>
          <w:szCs w:val="24"/>
          <w:lang w:val="en-GB" w:eastAsia="nl-BE"/>
        </w:rPr>
        <w:t>, a s</w:t>
      </w:r>
      <w:r w:rsidRPr="00EA796A">
        <w:rPr>
          <w:rFonts w:eastAsia="Times New Roman" w:cs="Times New Roman"/>
          <w:color w:val="000000" w:themeColor="text1"/>
          <w:szCs w:val="24"/>
          <w:lang w:val="en-GB" w:eastAsia="nl-BE"/>
        </w:rPr>
        <w:t xml:space="preserve">tate has the right to use force, </w:t>
      </w:r>
      <w:r w:rsidRPr="00EA796A">
        <w:rPr>
          <w:rFonts w:eastAsia="Times New Roman" w:cs="Times New Roman"/>
          <w:i/>
          <w:color w:val="000000" w:themeColor="text1"/>
          <w:szCs w:val="24"/>
          <w:lang w:val="en-GB" w:eastAsia="nl-BE"/>
        </w:rPr>
        <w:t>“even if this implies d</w:t>
      </w:r>
      <w:r w:rsidR="007C38B0" w:rsidRPr="00EA796A">
        <w:rPr>
          <w:rFonts w:eastAsia="Times New Roman" w:cs="Times New Roman"/>
          <w:i/>
          <w:color w:val="000000" w:themeColor="text1"/>
          <w:szCs w:val="24"/>
          <w:lang w:val="en-GB" w:eastAsia="nl-BE"/>
        </w:rPr>
        <w:t>epriving people of their lives […]</w:t>
      </w:r>
      <w:r w:rsidRPr="00EA796A">
        <w:rPr>
          <w:rFonts w:eastAsia="Times New Roman" w:cs="Times New Roman"/>
          <w:color w:val="000000" w:themeColor="text1"/>
          <w:szCs w:val="24"/>
          <w:lang w:val="en-GB" w:eastAsia="nl-BE"/>
        </w:rPr>
        <w:t>”</w:t>
      </w:r>
      <w:r w:rsidR="007C38B0" w:rsidRPr="00EA796A">
        <w:rPr>
          <w:rFonts w:eastAsia="Times New Roman" w:cs="Times New Roman"/>
          <w:color w:val="000000" w:themeColor="text1"/>
          <w:szCs w:val="24"/>
          <w:lang w:val="en-GB" w:eastAsia="nl-BE"/>
        </w:rPr>
        <w:t>.</w:t>
      </w:r>
      <w:r w:rsidRPr="00EA796A">
        <w:rPr>
          <w:rStyle w:val="FootnoteReference"/>
          <w:rFonts w:eastAsia="Times New Roman" w:cs="Times New Roman"/>
          <w:color w:val="000000" w:themeColor="text1"/>
          <w:szCs w:val="24"/>
          <w:lang w:val="en-GB" w:eastAsia="nl-BE"/>
        </w:rPr>
        <w:footnoteReference w:id="167"/>
      </w:r>
      <w:r w:rsidRPr="00EA796A">
        <w:rPr>
          <w:rFonts w:cs="Times New Roman"/>
          <w:color w:val="000000" w:themeColor="text1"/>
          <w:szCs w:val="24"/>
          <w:lang w:val="en-GB"/>
        </w:rPr>
        <w:t xml:space="preserve"> However, </w:t>
      </w:r>
      <w:r w:rsidR="007C38B0" w:rsidRPr="00EA796A">
        <w:rPr>
          <w:rFonts w:cs="Times New Roman"/>
          <w:color w:val="000000" w:themeColor="text1"/>
          <w:szCs w:val="24"/>
          <w:lang w:val="en-GB"/>
        </w:rPr>
        <w:t>as required by IHRL</w:t>
      </w:r>
      <w:r w:rsidRPr="00EA796A">
        <w:rPr>
          <w:rFonts w:cs="Times New Roman"/>
          <w:color w:val="000000" w:themeColor="text1"/>
          <w:szCs w:val="24"/>
          <w:lang w:val="en-GB"/>
        </w:rPr>
        <w:t xml:space="preserve"> and IHL, the use of force should be absolutely necessary and proportionate in relation to the posed threat and the aim pursued.</w:t>
      </w:r>
      <w:r w:rsidRPr="00EA796A">
        <w:rPr>
          <w:rStyle w:val="FootnoteReference"/>
          <w:rFonts w:cs="Times New Roman"/>
          <w:color w:val="000000" w:themeColor="text1"/>
          <w:szCs w:val="24"/>
          <w:lang w:val="en-GB"/>
        </w:rPr>
        <w:footnoteReference w:id="168"/>
      </w:r>
      <w:r w:rsidRPr="00EA796A">
        <w:rPr>
          <w:rFonts w:cs="Times New Roman"/>
          <w:color w:val="000000" w:themeColor="text1"/>
          <w:szCs w:val="24"/>
          <w:lang w:val="en-GB"/>
        </w:rPr>
        <w:t xml:space="preserve"> Moreover, in accordance with IHL, the violence may not be directed against civilians.</w:t>
      </w:r>
      <w:r w:rsidRPr="00EA796A">
        <w:rPr>
          <w:rStyle w:val="FootnoteReference"/>
          <w:rFonts w:cs="Times New Roman"/>
          <w:color w:val="000000" w:themeColor="text1"/>
          <w:szCs w:val="24"/>
          <w:lang w:val="en-GB"/>
        </w:rPr>
        <w:footnoteReference w:id="169"/>
      </w:r>
      <w:r w:rsidRPr="00EA796A">
        <w:rPr>
          <w:rFonts w:cs="Times New Roman"/>
          <w:color w:val="000000" w:themeColor="text1"/>
          <w:szCs w:val="24"/>
          <w:lang w:val="en-GB"/>
        </w:rPr>
        <w:t xml:space="preserve"> Additionally, according to the precautionary approach, whenever the lawful use of force is unavoidable, the </w:t>
      </w:r>
      <w:r w:rsidRPr="00EA796A">
        <w:rPr>
          <w:rFonts w:cs="Times New Roman"/>
          <w:color w:val="000000" w:themeColor="text1"/>
          <w:szCs w:val="24"/>
          <w:lang w:val="en-GB"/>
        </w:rPr>
        <w:lastRenderedPageBreak/>
        <w:t>law enforcement must a</w:t>
      </w:r>
      <w:r w:rsidR="002337BF" w:rsidRPr="00EA796A">
        <w:rPr>
          <w:rStyle w:val="sb8d990e2"/>
          <w:rFonts w:cs="Times New Roman"/>
          <w:color w:val="000000" w:themeColor="text1"/>
          <w:szCs w:val="24"/>
          <w:lang w:val="en-GB"/>
        </w:rPr>
        <w:t>void and, in any event, minimiz</w:t>
      </w:r>
      <w:r w:rsidRPr="00EA796A">
        <w:rPr>
          <w:rStyle w:val="sb8d990e2"/>
          <w:rFonts w:cs="Times New Roman"/>
          <w:color w:val="000000" w:themeColor="text1"/>
          <w:szCs w:val="24"/>
          <w:lang w:val="en-GB"/>
        </w:rPr>
        <w:t>e, incidental loss of civilian life</w:t>
      </w:r>
      <w:r w:rsidRPr="00EA796A">
        <w:rPr>
          <w:rFonts w:cs="Times New Roman"/>
          <w:color w:val="000000" w:themeColor="text1"/>
          <w:szCs w:val="24"/>
          <w:lang w:val="en-GB"/>
        </w:rPr>
        <w:t>.</w:t>
      </w:r>
      <w:r w:rsidRPr="00EA796A">
        <w:rPr>
          <w:rStyle w:val="FootnoteReference"/>
          <w:rFonts w:cs="Times New Roman"/>
          <w:color w:val="000000" w:themeColor="text1"/>
          <w:szCs w:val="24"/>
          <w:lang w:val="en-GB"/>
        </w:rPr>
        <w:footnoteReference w:id="170"/>
      </w:r>
      <w:r w:rsidRPr="00EA796A">
        <w:rPr>
          <w:rFonts w:cs="Times New Roman"/>
          <w:color w:val="000000" w:themeColor="text1"/>
          <w:szCs w:val="24"/>
          <w:lang w:val="en-GB"/>
        </w:rPr>
        <w:t xml:space="preserve"> On top of this, the </w:t>
      </w:r>
      <w:r w:rsidR="00885A7B" w:rsidRPr="00EA796A">
        <w:rPr>
          <w:rFonts w:cs="Times New Roman"/>
          <w:color w:val="000000" w:themeColor="text1"/>
          <w:szCs w:val="24"/>
          <w:lang w:val="en-GB"/>
        </w:rPr>
        <w:t>s</w:t>
      </w:r>
      <w:r w:rsidRPr="00EA796A">
        <w:rPr>
          <w:rFonts w:cs="Times New Roman"/>
          <w:color w:val="000000" w:themeColor="text1"/>
          <w:szCs w:val="24"/>
          <w:lang w:val="en-GB"/>
        </w:rPr>
        <w:t>tate should also provide a legal framework to regulate the use of force and to deter any possible threat to the right to life. Especially, it must guarantee that its security forces, which are entitled to use legitimate force, respect the right to life of the people under their jurisdiction.</w:t>
      </w:r>
      <w:r w:rsidRPr="00EA796A">
        <w:rPr>
          <w:rStyle w:val="FootnoteReference"/>
          <w:rFonts w:cs="Times New Roman"/>
          <w:color w:val="000000" w:themeColor="text1"/>
          <w:szCs w:val="24"/>
          <w:lang w:val="en-GB"/>
        </w:rPr>
        <w:footnoteReference w:id="171"/>
      </w:r>
      <w:r w:rsidRPr="00EA796A">
        <w:rPr>
          <w:rFonts w:cs="Times New Roman"/>
          <w:color w:val="000000" w:themeColor="text1"/>
          <w:szCs w:val="24"/>
          <w:lang w:val="en-GB"/>
        </w:rPr>
        <w:t xml:space="preserve"> </w:t>
      </w:r>
      <w:r w:rsidR="005131CE" w:rsidRPr="00EA796A">
        <w:rPr>
          <w:rFonts w:cs="Times New Roman"/>
          <w:color w:val="000000" w:themeColor="text1"/>
          <w:szCs w:val="24"/>
          <w:lang w:val="en-GB"/>
        </w:rPr>
        <w:t>Since the events occurred in the context of a non-international armed conflict the ACHR should be interpreted in a way that complements the norm of IHL.</w:t>
      </w:r>
      <w:r w:rsidR="005131CE" w:rsidRPr="00EA796A">
        <w:rPr>
          <w:rStyle w:val="FootnoteReference"/>
          <w:rFonts w:cs="Times New Roman"/>
          <w:color w:val="000000" w:themeColor="text1"/>
          <w:szCs w:val="24"/>
          <w:lang w:val="en-GB"/>
        </w:rPr>
        <w:footnoteReference w:id="172"/>
      </w:r>
      <w:r w:rsidR="005131CE" w:rsidRPr="00EA796A">
        <w:rPr>
          <w:rFonts w:cs="Times New Roman"/>
          <w:color w:val="000000" w:themeColor="text1"/>
          <w:szCs w:val="24"/>
          <w:lang w:val="en-GB"/>
        </w:rPr>
        <w:t xml:space="preserve"> </w:t>
      </w:r>
    </w:p>
    <w:p w14:paraId="34E0AD6E" w14:textId="10D49DA3" w:rsidR="00D22395" w:rsidRPr="00EA796A" w:rsidRDefault="00D22395" w:rsidP="00EF5B4E">
      <w:pPr>
        <w:spacing w:after="0"/>
        <w:rPr>
          <w:rFonts w:cs="Times New Roman"/>
          <w:color w:val="000000" w:themeColor="text1"/>
          <w:szCs w:val="24"/>
          <w:lang w:val="en-GB"/>
        </w:rPr>
      </w:pPr>
      <w:r w:rsidRPr="00EA796A">
        <w:rPr>
          <w:rFonts w:cs="Times New Roman"/>
          <w:color w:val="000000" w:themeColor="text1"/>
          <w:szCs w:val="24"/>
          <w:lang w:val="en-GB"/>
        </w:rPr>
        <w:t xml:space="preserve">In the instant case, the State clearly fulfilled all of the abovementioned criteria. </w:t>
      </w:r>
      <w:r w:rsidRPr="00EA796A">
        <w:rPr>
          <w:rFonts w:eastAsia="Times New Roman" w:cs="Times New Roman"/>
          <w:color w:val="000000" w:themeColor="text1"/>
          <w:szCs w:val="24"/>
          <w:lang w:val="en-GB" w:eastAsia="nl-BE"/>
        </w:rPr>
        <w:t xml:space="preserve">The </w:t>
      </w:r>
      <w:r w:rsidRPr="00EA796A">
        <w:rPr>
          <w:rFonts w:cs="Times New Roman"/>
          <w:color w:val="000000" w:themeColor="text1"/>
          <w:szCs w:val="24"/>
          <w:lang w:val="en-GB"/>
        </w:rPr>
        <w:t xml:space="preserve">use of force was legitimate and strictly unavoidable in order to protect the right to life of the </w:t>
      </w:r>
      <w:r w:rsidR="007C38B0" w:rsidRPr="00EA796A">
        <w:rPr>
          <w:rFonts w:cs="Times New Roman"/>
          <w:color w:val="000000" w:themeColor="text1"/>
          <w:szCs w:val="24"/>
          <w:lang w:val="en-GB"/>
        </w:rPr>
        <w:t xml:space="preserve">23 </w:t>
      </w:r>
      <w:r w:rsidR="0012247C" w:rsidRPr="00EA796A">
        <w:rPr>
          <w:rFonts w:cs="Times New Roman"/>
          <w:color w:val="000000" w:themeColor="text1"/>
          <w:szCs w:val="24"/>
          <w:lang w:val="en-GB"/>
        </w:rPr>
        <w:t xml:space="preserve">children. By refusing to surrender peacefully and using explosive devices, </w:t>
      </w:r>
      <w:r w:rsidRPr="00EA796A">
        <w:rPr>
          <w:rFonts w:cs="Times New Roman"/>
          <w:color w:val="000000" w:themeColor="text1"/>
          <w:szCs w:val="24"/>
          <w:lang w:val="en-GB"/>
        </w:rPr>
        <w:t xml:space="preserve">the guerrillas </w:t>
      </w:r>
      <w:r w:rsidR="0012247C" w:rsidRPr="00EA796A">
        <w:rPr>
          <w:rFonts w:cs="Times New Roman"/>
          <w:color w:val="000000" w:themeColor="text1"/>
          <w:szCs w:val="24"/>
          <w:lang w:val="en-GB"/>
        </w:rPr>
        <w:t xml:space="preserve">made </w:t>
      </w:r>
      <w:r w:rsidR="00CE461F" w:rsidRPr="00EA796A">
        <w:rPr>
          <w:rFonts w:cs="Times New Roman"/>
          <w:color w:val="000000" w:themeColor="text1"/>
          <w:szCs w:val="24"/>
          <w:lang w:val="en-GB"/>
        </w:rPr>
        <w:t>a</w:t>
      </w:r>
      <w:r w:rsidR="0012247C" w:rsidRPr="00EA796A">
        <w:rPr>
          <w:rFonts w:cs="Times New Roman"/>
          <w:color w:val="000000" w:themeColor="text1"/>
          <w:szCs w:val="24"/>
          <w:lang w:val="en-GB"/>
        </w:rPr>
        <w:t xml:space="preserve"> situation of imminent danger even more acute, making it absolutely necessary for the law enforcement to undertake swift action and save the children. </w:t>
      </w:r>
      <w:r w:rsidRPr="00EA796A">
        <w:rPr>
          <w:rFonts w:cs="Times New Roman"/>
          <w:color w:val="000000" w:themeColor="text1"/>
          <w:szCs w:val="24"/>
          <w:lang w:val="en-GB"/>
        </w:rPr>
        <w:t xml:space="preserve">Moreover, </w:t>
      </w:r>
      <w:r w:rsidR="0012247C" w:rsidRPr="00EA796A">
        <w:rPr>
          <w:rFonts w:cs="Times New Roman"/>
          <w:color w:val="000000" w:themeColor="text1"/>
          <w:szCs w:val="24"/>
          <w:lang w:val="en-GB"/>
        </w:rPr>
        <w:t xml:space="preserve">as required, </w:t>
      </w:r>
      <w:r w:rsidRPr="00EA796A">
        <w:rPr>
          <w:rFonts w:cs="Times New Roman"/>
          <w:color w:val="000000" w:themeColor="text1"/>
          <w:szCs w:val="24"/>
          <w:lang w:val="en-GB"/>
        </w:rPr>
        <w:t>the State provided a legal framework for the use of</w:t>
      </w:r>
      <w:r w:rsidR="00CE461F" w:rsidRPr="00EA796A">
        <w:rPr>
          <w:rFonts w:cs="Times New Roman"/>
          <w:color w:val="000000" w:themeColor="text1"/>
          <w:szCs w:val="24"/>
          <w:lang w:val="en-GB"/>
        </w:rPr>
        <w:t xml:space="preserve"> force</w:t>
      </w:r>
      <w:r w:rsidRPr="00EA796A">
        <w:rPr>
          <w:rFonts w:cs="Times New Roman"/>
          <w:color w:val="000000" w:themeColor="text1"/>
          <w:szCs w:val="24"/>
          <w:lang w:val="en-GB"/>
        </w:rPr>
        <w:t>.</w:t>
      </w:r>
      <w:r w:rsidRPr="00EA796A">
        <w:rPr>
          <w:rStyle w:val="FootnoteReference"/>
          <w:rFonts w:cs="Times New Roman"/>
          <w:color w:val="000000" w:themeColor="text1"/>
          <w:szCs w:val="24"/>
          <w:lang w:val="en-GB"/>
        </w:rPr>
        <w:footnoteReference w:id="173"/>
      </w:r>
      <w:r w:rsidRPr="00EA796A">
        <w:rPr>
          <w:rFonts w:cs="Times New Roman"/>
          <w:color w:val="000000" w:themeColor="text1"/>
          <w:szCs w:val="24"/>
          <w:lang w:val="en-GB"/>
        </w:rPr>
        <w:t xml:space="preserve"> Therefore, even if the rescue operation had caused the death of</w:t>
      </w:r>
      <w:r w:rsidR="00EE3F3D" w:rsidRPr="00EA796A">
        <w:rPr>
          <w:rFonts w:cs="Times New Roman"/>
          <w:color w:val="000000" w:themeColor="text1"/>
          <w:szCs w:val="24"/>
          <w:lang w:val="en-GB"/>
        </w:rPr>
        <w:t xml:space="preserve"> Aníbal</w:t>
      </w:r>
      <w:r w:rsidRPr="00EA796A">
        <w:rPr>
          <w:rFonts w:cs="Times New Roman"/>
          <w:color w:val="000000" w:themeColor="text1"/>
          <w:szCs w:val="24"/>
          <w:lang w:val="en-GB"/>
        </w:rPr>
        <w:t xml:space="preserve"> </w:t>
      </w:r>
      <w:r w:rsidR="007C38B0" w:rsidRPr="00EA796A">
        <w:rPr>
          <w:rFonts w:cs="Times New Roman"/>
          <w:color w:val="000000" w:themeColor="text1"/>
          <w:szCs w:val="24"/>
        </w:rPr>
        <w:t>López</w:t>
      </w:r>
      <w:r w:rsidRPr="00EA796A">
        <w:rPr>
          <w:rFonts w:cs="Times New Roman"/>
          <w:color w:val="000000" w:themeColor="text1"/>
          <w:szCs w:val="24"/>
          <w:lang w:val="en-GB"/>
        </w:rPr>
        <w:t xml:space="preserve">, which is </w:t>
      </w:r>
      <w:r w:rsidR="007C38B0" w:rsidRPr="00EA796A">
        <w:rPr>
          <w:rFonts w:cs="Times New Roman"/>
          <w:color w:val="000000" w:themeColor="text1"/>
          <w:szCs w:val="24"/>
          <w:lang w:val="en-GB"/>
        </w:rPr>
        <w:t>highly unlikely</w:t>
      </w:r>
      <w:r w:rsidR="007C38B0" w:rsidRPr="00EA796A">
        <w:rPr>
          <w:rStyle w:val="FootnoteReference"/>
          <w:rFonts w:cs="Times New Roman"/>
          <w:color w:val="000000" w:themeColor="text1"/>
          <w:szCs w:val="24"/>
          <w:lang w:val="en-GB"/>
        </w:rPr>
        <w:footnoteReference w:id="174"/>
      </w:r>
      <w:r w:rsidRPr="00EA796A">
        <w:rPr>
          <w:rFonts w:cs="Times New Roman"/>
          <w:color w:val="000000" w:themeColor="text1"/>
          <w:szCs w:val="24"/>
          <w:lang w:val="en-GB"/>
        </w:rPr>
        <w:t>, this would have been a</w:t>
      </w:r>
      <w:r w:rsidR="0012247C" w:rsidRPr="00EA796A">
        <w:rPr>
          <w:rFonts w:cs="Times New Roman"/>
          <w:color w:val="000000" w:themeColor="text1"/>
          <w:szCs w:val="24"/>
          <w:lang w:val="en-GB"/>
        </w:rPr>
        <w:t xml:space="preserve"> tragic, but</w:t>
      </w:r>
      <w:r w:rsidRPr="00EA796A">
        <w:rPr>
          <w:rFonts w:cs="Times New Roman"/>
          <w:color w:val="000000" w:themeColor="text1"/>
          <w:szCs w:val="24"/>
          <w:lang w:val="en-GB"/>
        </w:rPr>
        <w:t xml:space="preserve"> unwanted consequence of </w:t>
      </w:r>
      <w:r w:rsidR="00CE461F" w:rsidRPr="00EA796A">
        <w:rPr>
          <w:rFonts w:cs="Times New Roman"/>
          <w:color w:val="000000" w:themeColor="text1"/>
          <w:szCs w:val="24"/>
          <w:lang w:val="en-GB"/>
        </w:rPr>
        <w:t xml:space="preserve">a </w:t>
      </w:r>
      <w:r w:rsidRPr="00EA796A">
        <w:rPr>
          <w:rFonts w:cs="Times New Roman"/>
          <w:color w:val="000000" w:themeColor="text1"/>
          <w:szCs w:val="24"/>
          <w:lang w:val="en-GB"/>
        </w:rPr>
        <w:t>legitimate use of force. The Court should also keep in mind that, as a direct result of the operation, 19 children were eventually rescued and reunited with their families. Moreover, given the fact that the use of violence in the rescue operati</w:t>
      </w:r>
      <w:r w:rsidR="002E1278" w:rsidRPr="00EA796A">
        <w:rPr>
          <w:rFonts w:cs="Times New Roman"/>
          <w:color w:val="000000" w:themeColor="text1"/>
          <w:szCs w:val="24"/>
          <w:lang w:val="en-GB"/>
        </w:rPr>
        <w:t>on was proportionate, executed with precaution</w:t>
      </w:r>
      <w:r w:rsidRPr="00EA796A">
        <w:rPr>
          <w:rFonts w:cs="Times New Roman"/>
          <w:color w:val="000000" w:themeColor="text1"/>
          <w:szCs w:val="24"/>
          <w:lang w:val="en-GB"/>
        </w:rPr>
        <w:t xml:space="preserve"> and only directed against the captors, the operation was in accordance </w:t>
      </w:r>
      <w:r w:rsidRPr="00EA796A">
        <w:rPr>
          <w:rFonts w:cs="Times New Roman"/>
          <w:color w:val="000000" w:themeColor="text1"/>
          <w:szCs w:val="24"/>
          <w:lang w:val="en-GB"/>
        </w:rPr>
        <w:lastRenderedPageBreak/>
        <w:t>with the principles</w:t>
      </w:r>
      <w:r w:rsidR="002E1278" w:rsidRPr="00EA796A">
        <w:rPr>
          <w:rFonts w:cs="Times New Roman"/>
          <w:color w:val="000000" w:themeColor="text1"/>
          <w:szCs w:val="24"/>
          <w:lang w:val="en-GB"/>
        </w:rPr>
        <w:t xml:space="preserve"> of</w:t>
      </w:r>
      <w:r w:rsidRPr="00EA796A">
        <w:rPr>
          <w:rFonts w:cs="Times New Roman"/>
          <w:color w:val="000000" w:themeColor="text1"/>
          <w:szCs w:val="24"/>
          <w:lang w:val="en-GB"/>
        </w:rPr>
        <w:t xml:space="preserve"> IHL</w:t>
      </w:r>
      <w:r w:rsidR="002E1278" w:rsidRPr="00EA796A">
        <w:rPr>
          <w:rFonts w:cs="Times New Roman"/>
          <w:color w:val="000000" w:themeColor="text1"/>
          <w:szCs w:val="24"/>
          <w:lang w:val="en-GB"/>
        </w:rPr>
        <w:t xml:space="preserve"> as well as IHRL</w:t>
      </w:r>
      <w:r w:rsidRPr="00EA796A">
        <w:rPr>
          <w:rFonts w:cs="Times New Roman"/>
          <w:color w:val="000000" w:themeColor="text1"/>
          <w:szCs w:val="24"/>
          <w:lang w:val="en-GB"/>
        </w:rPr>
        <w:t>. For these reasons, the State did not violate Art. 4(1) ACHR.</w:t>
      </w:r>
      <w:r w:rsidRPr="00EA796A">
        <w:rPr>
          <w:rStyle w:val="FootnoteReference"/>
          <w:rFonts w:cs="Times New Roman"/>
          <w:color w:val="000000" w:themeColor="text1"/>
          <w:szCs w:val="24"/>
          <w:lang w:val="en-GB"/>
        </w:rPr>
        <w:footnoteReference w:id="175"/>
      </w:r>
    </w:p>
    <w:p w14:paraId="3B5CCE40" w14:textId="4C0CB861" w:rsidR="00D22395" w:rsidRPr="00EA796A" w:rsidRDefault="00D22395" w:rsidP="00EF5B4E">
      <w:pPr>
        <w:pStyle w:val="Heading5"/>
        <w:rPr>
          <w:color w:val="000000" w:themeColor="text1"/>
          <w:szCs w:val="24"/>
          <w:lang w:val="en-US"/>
        </w:rPr>
      </w:pPr>
      <w:bookmarkStart w:id="119" w:name="_Toc288789569"/>
      <w:r w:rsidRPr="00EA796A">
        <w:rPr>
          <w:color w:val="000000" w:themeColor="text1"/>
          <w:szCs w:val="24"/>
          <w:lang w:val="en-US"/>
        </w:rPr>
        <w:t>The State fulfilled its positive obligations regarding</w:t>
      </w:r>
      <w:r w:rsidRPr="00EA796A">
        <w:rPr>
          <w:color w:val="000000" w:themeColor="text1"/>
          <w:szCs w:val="24"/>
          <w:lang w:val="en-GB"/>
        </w:rPr>
        <w:t xml:space="preserve"> Aníbal</w:t>
      </w:r>
      <w:r w:rsidRPr="00EA796A">
        <w:rPr>
          <w:color w:val="000000" w:themeColor="text1"/>
          <w:szCs w:val="24"/>
          <w:lang w:val="en-US"/>
        </w:rPr>
        <w:t xml:space="preserve"> López’ death</w:t>
      </w:r>
      <w:bookmarkEnd w:id="119"/>
    </w:p>
    <w:p w14:paraId="08880C84" w14:textId="217F651E" w:rsidR="00D22395" w:rsidRPr="00EA796A" w:rsidRDefault="002337BF" w:rsidP="00EF5B4E">
      <w:pPr>
        <w:spacing w:after="0"/>
        <w:rPr>
          <w:rFonts w:cs="Times New Roman"/>
          <w:color w:val="000000" w:themeColor="text1"/>
          <w:szCs w:val="24"/>
          <w:lang w:val="en-GB"/>
        </w:rPr>
      </w:pPr>
      <w:r w:rsidRPr="00EA796A">
        <w:rPr>
          <w:rFonts w:cs="Times New Roman"/>
          <w:color w:val="000000" w:themeColor="text1"/>
          <w:szCs w:val="24"/>
          <w:lang w:val="en-US"/>
        </w:rPr>
        <w:t>Regarding the State</w:t>
      </w:r>
      <w:r w:rsidR="00D22395" w:rsidRPr="00EA796A">
        <w:rPr>
          <w:rFonts w:cs="Times New Roman"/>
          <w:color w:val="000000" w:themeColor="text1"/>
          <w:szCs w:val="24"/>
          <w:lang w:val="en-US"/>
        </w:rPr>
        <w:t>’</w:t>
      </w:r>
      <w:r w:rsidRPr="00EA796A">
        <w:rPr>
          <w:rFonts w:cs="Times New Roman"/>
          <w:color w:val="000000" w:themeColor="text1"/>
          <w:szCs w:val="24"/>
          <w:lang w:val="en-US"/>
        </w:rPr>
        <w:t>s</w:t>
      </w:r>
      <w:r w:rsidR="00D22395" w:rsidRPr="00EA796A">
        <w:rPr>
          <w:rFonts w:cs="Times New Roman"/>
          <w:color w:val="000000" w:themeColor="text1"/>
          <w:szCs w:val="24"/>
          <w:lang w:val="en-US"/>
        </w:rPr>
        <w:t xml:space="preserve"> duty to prevent</w:t>
      </w:r>
      <w:r w:rsidR="00D22395" w:rsidRPr="00EA796A">
        <w:rPr>
          <w:rStyle w:val="FootnoteReference"/>
          <w:rFonts w:cs="Times New Roman"/>
          <w:color w:val="000000" w:themeColor="text1"/>
          <w:szCs w:val="24"/>
          <w:lang w:val="en-US"/>
        </w:rPr>
        <w:footnoteReference w:id="176"/>
      </w:r>
      <w:r w:rsidR="00D22395" w:rsidRPr="00EA796A">
        <w:rPr>
          <w:rFonts w:cs="Times New Roman"/>
          <w:color w:val="000000" w:themeColor="text1"/>
          <w:szCs w:val="24"/>
          <w:lang w:val="en-US"/>
        </w:rPr>
        <w:t>, t</w:t>
      </w:r>
      <w:r w:rsidR="00D22395" w:rsidRPr="00EA796A">
        <w:rPr>
          <w:rFonts w:cs="Times New Roman"/>
          <w:color w:val="000000" w:themeColor="text1"/>
          <w:szCs w:val="24"/>
          <w:lang w:val="en-GB"/>
        </w:rPr>
        <w:t xml:space="preserve">he Court uses the concept of vulnerability as a criterion to enhance human rights protection </w:t>
      </w:r>
      <w:r w:rsidR="00D22395" w:rsidRPr="00EA796A">
        <w:rPr>
          <w:rFonts w:cs="Times New Roman"/>
          <w:i/>
          <w:color w:val="000000" w:themeColor="text1"/>
          <w:szCs w:val="24"/>
          <w:lang w:val="en-GB"/>
        </w:rPr>
        <w:t>vis-à-vis</w:t>
      </w:r>
      <w:r w:rsidR="00D22395" w:rsidRPr="00EA796A">
        <w:rPr>
          <w:rFonts w:cs="Times New Roman"/>
          <w:color w:val="000000" w:themeColor="text1"/>
          <w:szCs w:val="24"/>
          <w:lang w:val="en-GB"/>
        </w:rPr>
        <w:t xml:space="preserve"> individuals who belong to a vulnerable group, such as children.</w:t>
      </w:r>
      <w:r w:rsidR="00D22395" w:rsidRPr="00EA796A">
        <w:rPr>
          <w:rStyle w:val="FootnoteReference"/>
          <w:rFonts w:cs="Times New Roman"/>
          <w:color w:val="000000" w:themeColor="text1"/>
          <w:szCs w:val="24"/>
          <w:lang w:val="en-GB"/>
        </w:rPr>
        <w:footnoteReference w:id="177"/>
      </w:r>
      <w:r w:rsidR="00D22395" w:rsidRPr="00EA796A">
        <w:rPr>
          <w:rFonts w:cs="Times New Roman"/>
          <w:color w:val="000000" w:themeColor="text1"/>
          <w:szCs w:val="24"/>
          <w:lang w:val="en-GB"/>
        </w:rPr>
        <w:t xml:space="preserve"> The latter have special rights under Art. 19 ACHR, to which specific obligations correspond.</w:t>
      </w:r>
      <w:r w:rsidR="00D22395" w:rsidRPr="00EA796A">
        <w:rPr>
          <w:rStyle w:val="FootnoteReference"/>
          <w:rFonts w:cs="Times New Roman"/>
          <w:color w:val="000000" w:themeColor="text1"/>
          <w:szCs w:val="24"/>
          <w:lang w:val="en-GB"/>
        </w:rPr>
        <w:footnoteReference w:id="178"/>
      </w:r>
      <w:r w:rsidR="00D22395" w:rsidRPr="00EA796A">
        <w:rPr>
          <w:rFonts w:cs="Times New Roman"/>
          <w:color w:val="000000" w:themeColor="text1"/>
          <w:szCs w:val="24"/>
          <w:lang w:val="en-GB"/>
        </w:rPr>
        <w:t xml:space="preserve"> The Court has indicated that “</w:t>
      </w:r>
      <w:r w:rsidR="00D22395" w:rsidRPr="00EA796A">
        <w:rPr>
          <w:rFonts w:cs="Times New Roman"/>
          <w:i/>
          <w:color w:val="000000" w:themeColor="text1"/>
          <w:szCs w:val="24"/>
          <w:lang w:val="en-GB"/>
        </w:rPr>
        <w:t>the special vulnerability, owing to their condition as children, is even more evident in a situa</w:t>
      </w:r>
      <w:r w:rsidRPr="00EA796A">
        <w:rPr>
          <w:rFonts w:cs="Times New Roman"/>
          <w:i/>
          <w:color w:val="000000" w:themeColor="text1"/>
          <w:szCs w:val="24"/>
          <w:lang w:val="en-GB"/>
        </w:rPr>
        <w:t>tion of internal armed conflict</w:t>
      </w:r>
      <w:r w:rsidR="00D22395" w:rsidRPr="00EA796A">
        <w:rPr>
          <w:rFonts w:cs="Times New Roman"/>
          <w:i/>
          <w:color w:val="000000" w:themeColor="text1"/>
          <w:szCs w:val="24"/>
          <w:lang w:val="en-GB"/>
        </w:rPr>
        <w:t>”</w:t>
      </w:r>
      <w:r w:rsidRPr="00EA796A">
        <w:rPr>
          <w:rFonts w:cs="Times New Roman"/>
          <w:i/>
          <w:color w:val="000000" w:themeColor="text1"/>
          <w:szCs w:val="24"/>
          <w:lang w:val="en-GB"/>
        </w:rPr>
        <w:t>.</w:t>
      </w:r>
      <w:r w:rsidR="00D22395" w:rsidRPr="00EA796A">
        <w:rPr>
          <w:rStyle w:val="FootnoteReference"/>
          <w:rFonts w:cs="Times New Roman"/>
          <w:color w:val="000000" w:themeColor="text1"/>
          <w:szCs w:val="24"/>
          <w:lang w:val="en-GB"/>
        </w:rPr>
        <w:footnoteReference w:id="179"/>
      </w:r>
      <w:r w:rsidRPr="00EA796A">
        <w:rPr>
          <w:rFonts w:cs="Times New Roman"/>
          <w:color w:val="000000" w:themeColor="text1"/>
          <w:szCs w:val="24"/>
          <w:lang w:val="en-GB"/>
        </w:rPr>
        <w:t xml:space="preserve"> Accordingly, the S</w:t>
      </w:r>
      <w:r w:rsidR="00D22395" w:rsidRPr="00EA796A">
        <w:rPr>
          <w:rFonts w:cs="Times New Roman"/>
          <w:color w:val="000000" w:themeColor="text1"/>
          <w:szCs w:val="24"/>
          <w:lang w:val="en-GB"/>
        </w:rPr>
        <w:t xml:space="preserve">tate must adopt all necessary and reasonable measures to prevent or protect the rights of those who are in such a situation of vulnerability. </w:t>
      </w:r>
      <w:r w:rsidRPr="00EA796A">
        <w:rPr>
          <w:rFonts w:cs="Times New Roman"/>
          <w:color w:val="000000" w:themeColor="text1"/>
          <w:szCs w:val="24"/>
          <w:lang w:val="en-GB"/>
        </w:rPr>
        <w:t>Furthermore</w:t>
      </w:r>
      <w:r w:rsidR="00D22395" w:rsidRPr="00EA796A">
        <w:rPr>
          <w:rFonts w:cs="Times New Roman"/>
          <w:color w:val="000000" w:themeColor="text1"/>
          <w:szCs w:val="24"/>
          <w:lang w:val="en-GB"/>
        </w:rPr>
        <w:t xml:space="preserve">, whenever the state is </w:t>
      </w:r>
      <w:r w:rsidR="00D22395" w:rsidRPr="00EA796A">
        <w:rPr>
          <w:rFonts w:cs="Times New Roman"/>
          <w:i/>
          <w:color w:val="000000" w:themeColor="text1"/>
          <w:szCs w:val="24"/>
          <w:lang w:val="en-GB"/>
        </w:rPr>
        <w:t>“aware of a situation of real and imminent danger for a specific individual or a group of individuals and has reasonable possibilities of preventing or avoiding that danger”</w:t>
      </w:r>
      <w:r w:rsidR="00D22395" w:rsidRPr="00EA796A">
        <w:rPr>
          <w:rStyle w:val="FootnoteReference"/>
          <w:rFonts w:cs="Times New Roman"/>
          <w:color w:val="000000" w:themeColor="text1"/>
          <w:szCs w:val="24"/>
          <w:lang w:val="en-GB"/>
        </w:rPr>
        <w:footnoteReference w:id="180"/>
      </w:r>
      <w:r w:rsidR="00D22395" w:rsidRPr="00EA796A">
        <w:rPr>
          <w:rFonts w:cs="Times New Roman"/>
          <w:color w:val="000000" w:themeColor="text1"/>
          <w:szCs w:val="24"/>
          <w:lang w:val="en-GB"/>
        </w:rPr>
        <w:t xml:space="preserve">, the positive obligation of the state is determined in function of the particular needs for protection of </w:t>
      </w:r>
      <w:r w:rsidRPr="00EA796A">
        <w:rPr>
          <w:rFonts w:cs="Times New Roman"/>
          <w:color w:val="000000" w:themeColor="text1"/>
          <w:szCs w:val="24"/>
          <w:lang w:val="en-GB"/>
        </w:rPr>
        <w:t>those</w:t>
      </w:r>
      <w:r w:rsidR="00D22395" w:rsidRPr="00EA796A">
        <w:rPr>
          <w:rFonts w:cs="Times New Roman"/>
          <w:color w:val="000000" w:themeColor="text1"/>
          <w:szCs w:val="24"/>
          <w:lang w:val="en-GB"/>
        </w:rPr>
        <w:t xml:space="preserve"> persons </w:t>
      </w:r>
      <w:r w:rsidRPr="00EA796A">
        <w:rPr>
          <w:rFonts w:cs="Times New Roman"/>
          <w:color w:val="000000" w:themeColor="text1"/>
          <w:szCs w:val="24"/>
          <w:lang w:val="en-GB"/>
        </w:rPr>
        <w:t>in function of their particular needs.</w:t>
      </w:r>
      <w:r w:rsidR="00D22395" w:rsidRPr="00EA796A">
        <w:rPr>
          <w:rStyle w:val="FootnoteReference"/>
          <w:rFonts w:cs="Times New Roman"/>
          <w:color w:val="000000" w:themeColor="text1"/>
          <w:szCs w:val="24"/>
          <w:lang w:val="en-GB"/>
        </w:rPr>
        <w:footnoteReference w:id="181"/>
      </w:r>
      <w:r w:rsidR="00D22395" w:rsidRPr="00EA796A">
        <w:rPr>
          <w:rFonts w:cs="Times New Roman"/>
          <w:color w:val="000000" w:themeColor="text1"/>
          <w:szCs w:val="24"/>
          <w:lang w:val="en-GB"/>
        </w:rPr>
        <w:t xml:space="preserve"> </w:t>
      </w:r>
      <w:r w:rsidRPr="00EA796A">
        <w:rPr>
          <w:rFonts w:cs="Times New Roman"/>
          <w:color w:val="000000" w:themeColor="text1"/>
          <w:szCs w:val="24"/>
          <w:lang w:val="en-GB"/>
        </w:rPr>
        <w:t>As shown above</w:t>
      </w:r>
      <w:r w:rsidR="00D22395" w:rsidRPr="00EA796A">
        <w:rPr>
          <w:rFonts w:cs="Times New Roman"/>
          <w:color w:val="000000" w:themeColor="text1"/>
          <w:szCs w:val="24"/>
          <w:lang w:val="en-GB"/>
        </w:rPr>
        <w:t>, the children found themselves in a situation of real and imminent danger. Therefore, by conducting a rescue operation, the State maximized its effort</w:t>
      </w:r>
      <w:r w:rsidR="00327A5D" w:rsidRPr="00EA796A">
        <w:rPr>
          <w:rFonts w:cs="Times New Roman"/>
          <w:color w:val="000000" w:themeColor="text1"/>
          <w:szCs w:val="24"/>
          <w:lang w:val="en-GB"/>
        </w:rPr>
        <w:t>s</w:t>
      </w:r>
      <w:r w:rsidR="00D22395" w:rsidRPr="00EA796A">
        <w:rPr>
          <w:rFonts w:cs="Times New Roman"/>
          <w:color w:val="000000" w:themeColor="text1"/>
          <w:szCs w:val="24"/>
          <w:lang w:val="en-GB"/>
        </w:rPr>
        <w:t xml:space="preserve"> and took all the necessary and reasonable measures to prevent the violation of the right to life of the children. </w:t>
      </w:r>
    </w:p>
    <w:p w14:paraId="397DFAD4" w14:textId="1FFFB756" w:rsidR="00D22395" w:rsidRPr="00EA796A" w:rsidRDefault="00D22395" w:rsidP="00EF5B4E">
      <w:pPr>
        <w:spacing w:after="0"/>
        <w:rPr>
          <w:rFonts w:cs="Times New Roman"/>
          <w:color w:val="000000" w:themeColor="text1"/>
          <w:szCs w:val="24"/>
          <w:lang w:val="en-US"/>
        </w:rPr>
      </w:pPr>
      <w:r w:rsidRPr="00EA796A">
        <w:rPr>
          <w:rFonts w:cs="Times New Roman"/>
          <w:color w:val="000000" w:themeColor="text1"/>
          <w:szCs w:val="24"/>
          <w:lang w:val="en-GB"/>
        </w:rPr>
        <w:lastRenderedPageBreak/>
        <w:t xml:space="preserve">Furthermore, </w:t>
      </w:r>
      <w:r w:rsidRPr="00EA796A">
        <w:rPr>
          <w:rFonts w:cs="Times New Roman"/>
          <w:color w:val="000000" w:themeColor="text1"/>
          <w:szCs w:val="24"/>
          <w:lang w:val="en-US"/>
        </w:rPr>
        <w:t xml:space="preserve">Mrs. </w:t>
      </w:r>
      <w:r w:rsidR="00327A5D" w:rsidRPr="00EA796A">
        <w:rPr>
          <w:rFonts w:cs="Times New Roman"/>
          <w:color w:val="000000" w:themeColor="text1"/>
          <w:szCs w:val="24"/>
          <w:lang w:val="en-US"/>
        </w:rPr>
        <w:t xml:space="preserve">López </w:t>
      </w:r>
      <w:r w:rsidRPr="00EA796A">
        <w:rPr>
          <w:rFonts w:cs="Times New Roman"/>
          <w:color w:val="000000" w:themeColor="text1"/>
          <w:szCs w:val="24"/>
          <w:lang w:val="en-US"/>
        </w:rPr>
        <w:t>claims that the State did not punish the persons responsible</w:t>
      </w:r>
      <w:r w:rsidR="00327A5D" w:rsidRPr="00EA796A">
        <w:rPr>
          <w:rFonts w:cs="Times New Roman"/>
          <w:color w:val="000000" w:themeColor="text1"/>
          <w:szCs w:val="24"/>
          <w:lang w:val="en-US"/>
        </w:rPr>
        <w:t>.</w:t>
      </w:r>
      <w:r w:rsidRPr="00EA796A">
        <w:rPr>
          <w:rStyle w:val="FootnoteReference"/>
          <w:rFonts w:cs="Times New Roman"/>
          <w:color w:val="000000" w:themeColor="text1"/>
          <w:szCs w:val="24"/>
          <w:lang w:val="en-US"/>
        </w:rPr>
        <w:footnoteReference w:id="182"/>
      </w:r>
      <w:r w:rsidRPr="00EA796A">
        <w:rPr>
          <w:rFonts w:cs="Times New Roman"/>
          <w:color w:val="000000" w:themeColor="text1"/>
          <w:szCs w:val="24"/>
          <w:lang w:val="en-US"/>
        </w:rPr>
        <w:t xml:space="preserve"> However, this claim is without mer</w:t>
      </w:r>
      <w:r w:rsidR="00327A5D" w:rsidRPr="00EA796A">
        <w:rPr>
          <w:rFonts w:cs="Times New Roman"/>
          <w:color w:val="000000" w:themeColor="text1"/>
          <w:szCs w:val="24"/>
          <w:lang w:val="en-US"/>
        </w:rPr>
        <w:t>its since the State punished</w:t>
      </w:r>
      <w:r w:rsidRPr="00EA796A">
        <w:rPr>
          <w:rFonts w:cs="Times New Roman"/>
          <w:color w:val="000000" w:themeColor="text1"/>
          <w:szCs w:val="24"/>
          <w:lang w:val="en-US"/>
        </w:rPr>
        <w:t xml:space="preserve"> the perpetrators. Firstly, it has to be noted that Mr. Bolt was sentenced t</w:t>
      </w:r>
      <w:r w:rsidR="002A4C27" w:rsidRPr="00EA796A">
        <w:rPr>
          <w:rFonts w:cs="Times New Roman"/>
          <w:color w:val="000000" w:themeColor="text1"/>
          <w:szCs w:val="24"/>
          <w:lang w:val="en-US"/>
        </w:rPr>
        <w:t>o life in prison by a domestic c</w:t>
      </w:r>
      <w:r w:rsidRPr="00EA796A">
        <w:rPr>
          <w:rFonts w:cs="Times New Roman"/>
          <w:color w:val="000000" w:themeColor="text1"/>
          <w:szCs w:val="24"/>
          <w:lang w:val="en-US"/>
        </w:rPr>
        <w:t>ourt.</w:t>
      </w:r>
      <w:r w:rsidRPr="00EA796A">
        <w:rPr>
          <w:rStyle w:val="FootnoteReference"/>
          <w:rFonts w:cs="Times New Roman"/>
          <w:color w:val="000000" w:themeColor="text1"/>
          <w:szCs w:val="24"/>
          <w:lang w:val="en-US"/>
        </w:rPr>
        <w:footnoteReference w:id="183"/>
      </w:r>
      <w:r w:rsidRPr="00EA796A">
        <w:rPr>
          <w:rFonts w:cs="Times New Roman"/>
          <w:color w:val="000000" w:themeColor="text1"/>
          <w:szCs w:val="24"/>
          <w:lang w:val="en-US"/>
        </w:rPr>
        <w:t xml:space="preserve"> Secondly, Mr. Guadamu</w:t>
      </w:r>
      <w:r w:rsidR="002A4C27" w:rsidRPr="00EA796A">
        <w:rPr>
          <w:rFonts w:cs="Times New Roman"/>
          <w:color w:val="000000" w:themeColor="text1"/>
          <w:szCs w:val="24"/>
          <w:lang w:val="en-US"/>
        </w:rPr>
        <w:t>z was sentenced to 5 years in a</w:t>
      </w:r>
      <w:r w:rsidRPr="00EA796A">
        <w:rPr>
          <w:rFonts w:cs="Times New Roman"/>
          <w:color w:val="000000" w:themeColor="text1"/>
          <w:szCs w:val="24"/>
          <w:lang w:val="en-US"/>
        </w:rPr>
        <w:t xml:space="preserve"> detention site</w:t>
      </w:r>
      <w:r w:rsidRPr="00EA796A">
        <w:rPr>
          <w:rStyle w:val="FootnoteReference"/>
          <w:rFonts w:cs="Times New Roman"/>
          <w:color w:val="000000" w:themeColor="text1"/>
          <w:szCs w:val="24"/>
          <w:lang w:val="en-US"/>
        </w:rPr>
        <w:footnoteReference w:id="184"/>
      </w:r>
      <w:r w:rsidRPr="00EA796A">
        <w:rPr>
          <w:rFonts w:cs="Times New Roman"/>
          <w:color w:val="000000" w:themeColor="text1"/>
          <w:szCs w:val="24"/>
          <w:lang w:val="en-US"/>
        </w:rPr>
        <w:t xml:space="preserve">. Thirdly, Mr. Mukundi was imprisoned </w:t>
      </w:r>
      <w:r w:rsidR="00327A5D" w:rsidRPr="00EA796A">
        <w:rPr>
          <w:rFonts w:cs="Times New Roman"/>
          <w:color w:val="000000" w:themeColor="text1"/>
          <w:szCs w:val="24"/>
          <w:lang w:val="en-US"/>
        </w:rPr>
        <w:t>for 7 years</w:t>
      </w:r>
      <w:r w:rsidRPr="00EA796A">
        <w:rPr>
          <w:rFonts w:cs="Times New Roman"/>
          <w:color w:val="000000" w:themeColor="text1"/>
          <w:szCs w:val="24"/>
          <w:lang w:val="en-US"/>
        </w:rPr>
        <w:t xml:space="preserve">. On top of </w:t>
      </w:r>
      <w:r w:rsidR="00327A5D" w:rsidRPr="00EA796A">
        <w:rPr>
          <w:rFonts w:cs="Times New Roman"/>
          <w:color w:val="000000" w:themeColor="text1"/>
          <w:szCs w:val="24"/>
          <w:lang w:val="en-US"/>
        </w:rPr>
        <w:t>this</w:t>
      </w:r>
      <w:r w:rsidRPr="00EA796A">
        <w:rPr>
          <w:rFonts w:cs="Times New Roman"/>
          <w:color w:val="000000" w:themeColor="text1"/>
          <w:szCs w:val="24"/>
          <w:lang w:val="en-US"/>
        </w:rPr>
        <w:t>, the STT sentenced him to an additional penalty of 180 days of community service.</w:t>
      </w:r>
      <w:r w:rsidRPr="00EA796A">
        <w:rPr>
          <w:rStyle w:val="FootnoteReference"/>
          <w:rFonts w:cs="Times New Roman"/>
          <w:color w:val="000000" w:themeColor="text1"/>
          <w:szCs w:val="24"/>
          <w:lang w:val="en-US"/>
        </w:rPr>
        <w:footnoteReference w:id="185"/>
      </w:r>
      <w:r w:rsidRPr="00EA796A">
        <w:rPr>
          <w:rFonts w:cs="Times New Roman"/>
          <w:color w:val="000000" w:themeColor="text1"/>
          <w:szCs w:val="24"/>
          <w:lang w:val="en-US"/>
        </w:rPr>
        <w:t xml:space="preserve"> Keeping in mind t</w:t>
      </w:r>
      <w:r w:rsidR="00327A5D" w:rsidRPr="00EA796A">
        <w:rPr>
          <w:rFonts w:cs="Times New Roman"/>
          <w:color w:val="000000" w:themeColor="text1"/>
          <w:szCs w:val="24"/>
          <w:lang w:val="en-US"/>
        </w:rPr>
        <w:t>he extensive and voluntary co</w:t>
      </w:r>
      <w:r w:rsidRPr="00EA796A">
        <w:rPr>
          <w:rFonts w:cs="Times New Roman"/>
          <w:color w:val="000000" w:themeColor="text1"/>
          <w:szCs w:val="24"/>
          <w:lang w:val="en-US"/>
        </w:rPr>
        <w:t>operation of Mr. Guadamuz and Mr. Mukundi in the establishment of the facts and their genuine show of remorse</w:t>
      </w:r>
      <w:r w:rsidR="00327A5D" w:rsidRPr="00EA796A">
        <w:rPr>
          <w:rStyle w:val="FootnoteReference"/>
          <w:rFonts w:cs="Times New Roman"/>
          <w:color w:val="000000" w:themeColor="text1"/>
          <w:szCs w:val="24"/>
          <w:lang w:val="en-US"/>
        </w:rPr>
        <w:footnoteReference w:id="186"/>
      </w:r>
      <w:r w:rsidRPr="00EA796A">
        <w:rPr>
          <w:rFonts w:cs="Times New Roman"/>
          <w:color w:val="000000" w:themeColor="text1"/>
          <w:szCs w:val="24"/>
          <w:lang w:val="en-US"/>
        </w:rPr>
        <w:t xml:space="preserve">, the sentences are justified. </w:t>
      </w:r>
    </w:p>
    <w:p w14:paraId="7E56DC1B" w14:textId="3A40ABAC" w:rsidR="004449A3" w:rsidRPr="00EA796A" w:rsidRDefault="004449A3" w:rsidP="00EF5B4E">
      <w:pPr>
        <w:pStyle w:val="Heading5"/>
        <w:rPr>
          <w:color w:val="000000" w:themeColor="text1"/>
          <w:szCs w:val="24"/>
          <w:lang w:val="en-US"/>
        </w:rPr>
      </w:pPr>
      <w:bookmarkStart w:id="120" w:name="_Toc288789570"/>
      <w:r w:rsidRPr="00EA796A">
        <w:rPr>
          <w:color w:val="000000" w:themeColor="text1"/>
          <w:szCs w:val="24"/>
          <w:lang w:val="en-US"/>
        </w:rPr>
        <w:t xml:space="preserve">The State provided adequate </w:t>
      </w:r>
      <w:r w:rsidR="00327A5D" w:rsidRPr="00EA796A">
        <w:rPr>
          <w:color w:val="000000" w:themeColor="text1"/>
          <w:szCs w:val="24"/>
          <w:lang w:val="en-US"/>
        </w:rPr>
        <w:t>reparations</w:t>
      </w:r>
      <w:r w:rsidRPr="00EA796A">
        <w:rPr>
          <w:color w:val="000000" w:themeColor="text1"/>
          <w:szCs w:val="24"/>
          <w:lang w:val="en-US"/>
        </w:rPr>
        <w:t xml:space="preserve"> for Mrs. López</w:t>
      </w:r>
      <w:bookmarkEnd w:id="120"/>
    </w:p>
    <w:p w14:paraId="01834992" w14:textId="4C30BD7D" w:rsidR="00D22395" w:rsidRPr="00EA796A" w:rsidRDefault="00D22395" w:rsidP="00EF5B4E">
      <w:pPr>
        <w:spacing w:after="0"/>
        <w:rPr>
          <w:rFonts w:cs="Times New Roman"/>
          <w:color w:val="000000" w:themeColor="text1"/>
          <w:szCs w:val="24"/>
          <w:lang w:val="en-GB"/>
        </w:rPr>
      </w:pPr>
      <w:r w:rsidRPr="00EA796A">
        <w:rPr>
          <w:rFonts w:cs="Times New Roman"/>
          <w:color w:val="000000" w:themeColor="text1"/>
          <w:szCs w:val="24"/>
          <w:lang w:val="en-US"/>
        </w:rPr>
        <w:t xml:space="preserve">Lastly, Mrs. </w:t>
      </w:r>
      <w:r w:rsidR="0054224E" w:rsidRPr="00EA796A">
        <w:rPr>
          <w:rFonts w:cs="Times New Roman"/>
          <w:color w:val="000000" w:themeColor="text1"/>
          <w:szCs w:val="24"/>
          <w:lang w:val="en-US"/>
        </w:rPr>
        <w:t xml:space="preserve">López </w:t>
      </w:r>
      <w:r w:rsidRPr="00EA796A">
        <w:rPr>
          <w:rFonts w:cs="Times New Roman"/>
          <w:color w:val="000000" w:themeColor="text1"/>
          <w:szCs w:val="24"/>
          <w:lang w:val="en-US"/>
        </w:rPr>
        <w:t>alleges the lack of reparations for the death of her son. However, as stated in the facts</w:t>
      </w:r>
      <w:r w:rsidRPr="00EA796A">
        <w:rPr>
          <w:rStyle w:val="FootnoteReference"/>
          <w:rFonts w:cs="Times New Roman"/>
          <w:color w:val="000000" w:themeColor="text1"/>
          <w:szCs w:val="24"/>
          <w:lang w:val="en-US"/>
        </w:rPr>
        <w:footnoteReference w:id="187"/>
      </w:r>
      <w:r w:rsidRPr="00EA796A">
        <w:rPr>
          <w:rFonts w:cs="Times New Roman"/>
          <w:color w:val="000000" w:themeColor="text1"/>
          <w:szCs w:val="24"/>
          <w:lang w:val="en-US"/>
        </w:rPr>
        <w:t>, she received 20,000$. This amount is in accordance with amount</w:t>
      </w:r>
      <w:r w:rsidR="00CE461F" w:rsidRPr="00EA796A">
        <w:rPr>
          <w:rFonts w:cs="Times New Roman"/>
          <w:color w:val="000000" w:themeColor="text1"/>
          <w:szCs w:val="24"/>
          <w:lang w:val="en-US"/>
        </w:rPr>
        <w:t>s</w:t>
      </w:r>
      <w:r w:rsidRPr="00EA796A">
        <w:rPr>
          <w:rFonts w:cs="Times New Roman"/>
          <w:color w:val="000000" w:themeColor="text1"/>
          <w:szCs w:val="24"/>
          <w:lang w:val="en-US"/>
        </w:rPr>
        <w:t xml:space="preserve"> granted by the Court in </w:t>
      </w:r>
      <w:r w:rsidR="0054224E" w:rsidRPr="00EA796A">
        <w:rPr>
          <w:rFonts w:cs="Times New Roman"/>
          <w:color w:val="000000" w:themeColor="text1"/>
          <w:szCs w:val="24"/>
          <w:lang w:val="en-US"/>
        </w:rPr>
        <w:t>the past</w:t>
      </w:r>
      <w:r w:rsidRPr="00EA796A">
        <w:rPr>
          <w:rFonts w:cs="Times New Roman"/>
          <w:color w:val="000000" w:themeColor="text1"/>
          <w:szCs w:val="24"/>
          <w:lang w:val="en-US"/>
        </w:rPr>
        <w:t>.</w:t>
      </w:r>
      <w:r w:rsidRPr="00EA796A">
        <w:rPr>
          <w:rStyle w:val="FootnoteReference"/>
          <w:rFonts w:cs="Times New Roman"/>
          <w:color w:val="000000" w:themeColor="text1"/>
          <w:szCs w:val="24"/>
          <w:lang w:val="en-US"/>
        </w:rPr>
        <w:footnoteReference w:id="188"/>
      </w:r>
      <w:r w:rsidRPr="00EA796A">
        <w:rPr>
          <w:rFonts w:cs="Times New Roman"/>
          <w:color w:val="000000" w:themeColor="text1"/>
          <w:szCs w:val="24"/>
          <w:lang w:val="en-US"/>
        </w:rPr>
        <w:t xml:space="preserve"> Besides, Mrs. </w:t>
      </w:r>
      <w:r w:rsidR="0054224E" w:rsidRPr="00EA796A">
        <w:rPr>
          <w:rFonts w:cs="Times New Roman"/>
          <w:color w:val="000000" w:themeColor="text1"/>
          <w:szCs w:val="24"/>
          <w:lang w:val="en-US"/>
        </w:rPr>
        <w:t xml:space="preserve">López </w:t>
      </w:r>
      <w:r w:rsidRPr="00EA796A">
        <w:rPr>
          <w:rFonts w:cs="Times New Roman"/>
          <w:color w:val="000000" w:themeColor="text1"/>
          <w:szCs w:val="24"/>
          <w:lang w:val="en-US"/>
        </w:rPr>
        <w:t xml:space="preserve">could have sued the State before the CoS in order to receive additional compensation for the harm not covered by the </w:t>
      </w:r>
      <w:r w:rsidR="0054224E" w:rsidRPr="00EA796A">
        <w:rPr>
          <w:rFonts w:cs="Times New Roman"/>
          <w:color w:val="000000" w:themeColor="text1"/>
          <w:szCs w:val="24"/>
          <w:lang w:val="en-US"/>
        </w:rPr>
        <w:t>reparations</w:t>
      </w:r>
      <w:r w:rsidRPr="00EA796A">
        <w:rPr>
          <w:rFonts w:cs="Times New Roman"/>
          <w:color w:val="000000" w:themeColor="text1"/>
          <w:szCs w:val="24"/>
          <w:lang w:val="en-US"/>
        </w:rPr>
        <w:t>.</w:t>
      </w:r>
      <w:r w:rsidRPr="00EA796A">
        <w:rPr>
          <w:rStyle w:val="FootnoteReference"/>
          <w:rFonts w:cs="Times New Roman"/>
          <w:color w:val="000000" w:themeColor="text1"/>
          <w:szCs w:val="24"/>
          <w:lang w:val="en-US"/>
        </w:rPr>
        <w:footnoteReference w:id="189"/>
      </w:r>
      <w:r w:rsidRPr="00EA796A">
        <w:rPr>
          <w:rFonts w:cs="Times New Roman"/>
          <w:color w:val="000000" w:themeColor="text1"/>
          <w:szCs w:val="24"/>
          <w:lang w:val="en-US"/>
        </w:rPr>
        <w:t xml:space="preserve"> Also, the State invited the </w:t>
      </w:r>
      <w:r w:rsidR="0054224E" w:rsidRPr="00EA796A">
        <w:rPr>
          <w:rFonts w:cs="Times New Roman"/>
          <w:color w:val="000000" w:themeColor="text1"/>
          <w:szCs w:val="24"/>
          <w:lang w:val="en-US"/>
        </w:rPr>
        <w:t xml:space="preserve">López </w:t>
      </w:r>
      <w:r w:rsidRPr="00EA796A">
        <w:rPr>
          <w:rFonts w:cs="Times New Roman"/>
          <w:color w:val="000000" w:themeColor="text1"/>
          <w:szCs w:val="24"/>
          <w:lang w:val="en-US"/>
        </w:rPr>
        <w:t xml:space="preserve">family to participate in the psychological and social services program. Mrs. </w:t>
      </w:r>
      <w:r w:rsidR="0054224E" w:rsidRPr="00EA796A">
        <w:rPr>
          <w:rFonts w:cs="Times New Roman"/>
          <w:color w:val="000000" w:themeColor="text1"/>
          <w:szCs w:val="24"/>
          <w:lang w:val="en-US"/>
        </w:rPr>
        <w:t xml:space="preserve">López </w:t>
      </w:r>
      <w:r w:rsidRPr="00EA796A">
        <w:rPr>
          <w:rFonts w:cs="Times New Roman"/>
          <w:color w:val="000000" w:themeColor="text1"/>
          <w:szCs w:val="24"/>
          <w:lang w:val="en-US"/>
        </w:rPr>
        <w:t>declined this offer and asked for the reimbursement of the expenses of the specialized services she used instead.</w:t>
      </w:r>
      <w:r w:rsidRPr="00EA796A">
        <w:rPr>
          <w:rStyle w:val="FootnoteReference"/>
          <w:rFonts w:cs="Times New Roman"/>
          <w:color w:val="000000" w:themeColor="text1"/>
          <w:szCs w:val="24"/>
          <w:lang w:val="en-US"/>
        </w:rPr>
        <w:footnoteReference w:id="190"/>
      </w:r>
      <w:r w:rsidRPr="00EA796A">
        <w:rPr>
          <w:rFonts w:cs="Times New Roman"/>
          <w:color w:val="000000" w:themeColor="text1"/>
          <w:szCs w:val="24"/>
          <w:lang w:val="en-US"/>
        </w:rPr>
        <w:t xml:space="preserve"> However, as </w:t>
      </w:r>
      <w:r w:rsidR="0054224E" w:rsidRPr="00EA796A">
        <w:rPr>
          <w:rFonts w:cs="Times New Roman"/>
          <w:color w:val="000000" w:themeColor="text1"/>
          <w:szCs w:val="24"/>
          <w:lang w:val="en-US"/>
        </w:rPr>
        <w:t>stated by the Court, a s</w:t>
      </w:r>
      <w:r w:rsidRPr="00EA796A">
        <w:rPr>
          <w:rFonts w:cs="Times New Roman"/>
          <w:color w:val="000000" w:themeColor="text1"/>
          <w:szCs w:val="24"/>
          <w:lang w:val="en-US"/>
        </w:rPr>
        <w:t>tate is only obliged to prov</w:t>
      </w:r>
      <w:r w:rsidR="0054224E" w:rsidRPr="00EA796A">
        <w:rPr>
          <w:rFonts w:cs="Times New Roman"/>
          <w:color w:val="000000" w:themeColor="text1"/>
          <w:szCs w:val="24"/>
          <w:lang w:val="en-US"/>
        </w:rPr>
        <w:t>ide psychological treatment by s</w:t>
      </w:r>
      <w:r w:rsidRPr="00EA796A">
        <w:rPr>
          <w:rFonts w:cs="Times New Roman"/>
          <w:color w:val="000000" w:themeColor="text1"/>
          <w:szCs w:val="24"/>
          <w:lang w:val="en-US"/>
        </w:rPr>
        <w:t>tate institutions and personnel.</w:t>
      </w:r>
      <w:r w:rsidRPr="00EA796A">
        <w:rPr>
          <w:rStyle w:val="FootnoteReference"/>
          <w:rFonts w:cs="Times New Roman"/>
          <w:color w:val="000000" w:themeColor="text1"/>
          <w:szCs w:val="24"/>
          <w:lang w:val="en-US"/>
        </w:rPr>
        <w:footnoteReference w:id="191"/>
      </w:r>
      <w:r w:rsidRPr="00EA796A">
        <w:rPr>
          <w:rFonts w:cs="Times New Roman"/>
          <w:color w:val="000000" w:themeColor="text1"/>
          <w:szCs w:val="24"/>
          <w:lang w:val="en-US"/>
        </w:rPr>
        <w:t xml:space="preserve"> </w:t>
      </w:r>
      <w:r w:rsidRPr="00EA796A">
        <w:rPr>
          <w:rFonts w:cs="Times New Roman"/>
          <w:color w:val="000000" w:themeColor="text1"/>
          <w:szCs w:val="24"/>
          <w:lang w:val="en-GB"/>
        </w:rPr>
        <w:t xml:space="preserve">Furthermore, as a measure of satisfaction and a guarantee of non-repetition, the school was considered by the </w:t>
      </w:r>
      <w:r w:rsidRPr="00EA796A">
        <w:rPr>
          <w:rFonts w:cs="Times New Roman"/>
          <w:color w:val="000000" w:themeColor="text1"/>
          <w:szCs w:val="24"/>
          <w:lang w:val="en-GB"/>
        </w:rPr>
        <w:lastRenderedPageBreak/>
        <w:t>collective reparation</w:t>
      </w:r>
      <w:r w:rsidR="0054224E" w:rsidRPr="00EA796A">
        <w:rPr>
          <w:rFonts w:cs="Times New Roman"/>
          <w:color w:val="000000" w:themeColor="text1"/>
          <w:szCs w:val="24"/>
          <w:lang w:val="en-GB"/>
        </w:rPr>
        <w:t>s</w:t>
      </w:r>
      <w:r w:rsidRPr="00EA796A">
        <w:rPr>
          <w:rFonts w:cs="Times New Roman"/>
          <w:color w:val="000000" w:themeColor="text1"/>
          <w:szCs w:val="24"/>
          <w:lang w:val="en-GB"/>
        </w:rPr>
        <w:t xml:space="preserve"> program to be a symbol of the war’s interference in childhood. Additionally, a program was started, headed by a mother of one of the kidnapped children, to promote the school as a place of peace, coexist</w:t>
      </w:r>
      <w:r w:rsidR="0054224E" w:rsidRPr="00EA796A">
        <w:rPr>
          <w:rFonts w:cs="Times New Roman"/>
          <w:color w:val="000000" w:themeColor="text1"/>
          <w:szCs w:val="24"/>
          <w:lang w:val="en-GB"/>
        </w:rPr>
        <w:t>ence, and reconciliation. This s</w:t>
      </w:r>
      <w:r w:rsidRPr="00EA796A">
        <w:rPr>
          <w:rFonts w:cs="Times New Roman"/>
          <w:color w:val="000000" w:themeColor="text1"/>
          <w:szCs w:val="24"/>
          <w:lang w:val="en-GB"/>
        </w:rPr>
        <w:t>tate initiative even received the Ibero-American Peace Prize in 2013.</w:t>
      </w:r>
      <w:r w:rsidRPr="00EA796A">
        <w:rPr>
          <w:rStyle w:val="FootnoteReference"/>
          <w:rFonts w:cs="Times New Roman"/>
          <w:color w:val="000000" w:themeColor="text1"/>
          <w:szCs w:val="24"/>
          <w:lang w:val="en-GB"/>
        </w:rPr>
        <w:footnoteReference w:id="192"/>
      </w:r>
      <w:r w:rsidRPr="00EA796A">
        <w:rPr>
          <w:rFonts w:cs="Times New Roman"/>
          <w:color w:val="000000" w:themeColor="text1"/>
          <w:szCs w:val="24"/>
          <w:lang w:val="en-GB"/>
        </w:rPr>
        <w:t xml:space="preserve"> For these reasons, the State has clearly provided comprehensive </w:t>
      </w:r>
      <w:r w:rsidR="0054224E" w:rsidRPr="00EA796A">
        <w:rPr>
          <w:rFonts w:cs="Times New Roman"/>
          <w:color w:val="000000" w:themeColor="text1"/>
          <w:szCs w:val="24"/>
          <w:lang w:val="en-GB"/>
        </w:rPr>
        <w:t xml:space="preserve">domestic </w:t>
      </w:r>
      <w:r w:rsidRPr="00EA796A">
        <w:rPr>
          <w:rFonts w:cs="Times New Roman"/>
          <w:color w:val="000000" w:themeColor="text1"/>
          <w:szCs w:val="24"/>
          <w:lang w:val="en-GB"/>
        </w:rPr>
        <w:t xml:space="preserve">reparations to Mrs. </w:t>
      </w:r>
      <w:r w:rsidR="0054224E" w:rsidRPr="00EA796A">
        <w:rPr>
          <w:rFonts w:cs="Times New Roman"/>
          <w:color w:val="000000" w:themeColor="text1"/>
          <w:szCs w:val="24"/>
          <w:lang w:val="en-US"/>
        </w:rPr>
        <w:t>López</w:t>
      </w:r>
      <w:r w:rsidRPr="00EA796A">
        <w:rPr>
          <w:rFonts w:cs="Times New Roman"/>
          <w:color w:val="000000" w:themeColor="text1"/>
          <w:szCs w:val="24"/>
          <w:lang w:val="en-GB"/>
        </w:rPr>
        <w:t>, in accordance with the standards of the Inter-American system.</w:t>
      </w:r>
    </w:p>
    <w:p w14:paraId="785F81ED" w14:textId="348D9308" w:rsidR="00BE3A14" w:rsidRPr="00EA796A" w:rsidRDefault="00BE3A14" w:rsidP="00EF5B4E">
      <w:pPr>
        <w:pStyle w:val="Heading2"/>
        <w:spacing w:after="0"/>
        <w:ind w:left="720" w:hanging="360"/>
        <w:rPr>
          <w:rFonts w:ascii="Times New Roman" w:hAnsi="Times New Roman" w:cs="Times New Roman"/>
          <w:color w:val="000000" w:themeColor="text1"/>
          <w:sz w:val="24"/>
          <w:szCs w:val="24"/>
        </w:rPr>
      </w:pPr>
      <w:bookmarkStart w:id="121" w:name="_Toc287780520"/>
      <w:bookmarkStart w:id="122" w:name="_Toc414047154"/>
      <w:bookmarkStart w:id="123" w:name="_Toc288551034"/>
      <w:bookmarkStart w:id="124" w:name="_Toc288727706"/>
      <w:bookmarkStart w:id="125" w:name="_Toc288789571"/>
      <w:r w:rsidRPr="00EA796A">
        <w:rPr>
          <w:rFonts w:ascii="Times New Roman" w:hAnsi="Times New Roman" w:cs="Times New Roman"/>
          <w:color w:val="000000" w:themeColor="text1"/>
          <w:sz w:val="24"/>
          <w:szCs w:val="24"/>
        </w:rPr>
        <w:t>Reparations</w:t>
      </w:r>
      <w:bookmarkEnd w:id="121"/>
      <w:bookmarkEnd w:id="122"/>
      <w:bookmarkEnd w:id="123"/>
      <w:bookmarkEnd w:id="124"/>
      <w:r w:rsidR="00C53226" w:rsidRPr="00EA796A">
        <w:rPr>
          <w:rFonts w:ascii="Times New Roman" w:hAnsi="Times New Roman" w:cs="Times New Roman"/>
          <w:color w:val="000000" w:themeColor="text1"/>
          <w:sz w:val="24"/>
          <w:szCs w:val="24"/>
        </w:rPr>
        <w:t xml:space="preserve"> (Art. 63(1) ACHR)</w:t>
      </w:r>
      <w:bookmarkEnd w:id="125"/>
    </w:p>
    <w:p w14:paraId="1C747A5E" w14:textId="15DE8488" w:rsidR="000051C5" w:rsidRPr="00EA796A" w:rsidRDefault="000051C5" w:rsidP="00EF5B4E">
      <w:pPr>
        <w:spacing w:after="0"/>
        <w:rPr>
          <w:rFonts w:cs="Times New Roman"/>
          <w:color w:val="000000" w:themeColor="text1"/>
          <w:szCs w:val="24"/>
          <w:lang w:val="en-US"/>
        </w:rPr>
      </w:pPr>
      <w:r w:rsidRPr="00EA796A">
        <w:rPr>
          <w:rFonts w:cs="Times New Roman"/>
          <w:color w:val="000000" w:themeColor="text1"/>
          <w:szCs w:val="24"/>
          <w:lang w:val="en-US"/>
        </w:rPr>
        <w:t xml:space="preserve">As shown above, the State has complied with </w:t>
      </w:r>
      <w:r w:rsidR="006D177C" w:rsidRPr="00EA796A">
        <w:rPr>
          <w:rFonts w:cs="Times New Roman"/>
          <w:color w:val="000000" w:themeColor="text1"/>
          <w:szCs w:val="24"/>
          <w:lang w:val="en-US"/>
        </w:rPr>
        <w:t>the provisions of the ACHR and therefore there is no state responsibility</w:t>
      </w:r>
      <w:r w:rsidRPr="00EA796A">
        <w:rPr>
          <w:rFonts w:cs="Times New Roman"/>
          <w:color w:val="000000" w:themeColor="text1"/>
          <w:szCs w:val="24"/>
          <w:lang w:val="en-US"/>
        </w:rPr>
        <w:t xml:space="preserve">. </w:t>
      </w:r>
      <w:r w:rsidR="0054224E" w:rsidRPr="00EA796A">
        <w:rPr>
          <w:rFonts w:cs="Times New Roman"/>
          <w:color w:val="000000" w:themeColor="text1"/>
          <w:szCs w:val="24"/>
          <w:lang w:val="en-US"/>
        </w:rPr>
        <w:t>Insofar as the petitioners are</w:t>
      </w:r>
      <w:r w:rsidRPr="00EA796A">
        <w:rPr>
          <w:rFonts w:cs="Times New Roman"/>
          <w:color w:val="000000" w:themeColor="text1"/>
          <w:szCs w:val="24"/>
          <w:lang w:val="en-US"/>
        </w:rPr>
        <w:t xml:space="preserve"> claiming more reparations, the</w:t>
      </w:r>
      <w:r w:rsidR="0054224E" w:rsidRPr="00EA796A">
        <w:rPr>
          <w:rFonts w:cs="Times New Roman"/>
          <w:color w:val="000000" w:themeColor="text1"/>
          <w:szCs w:val="24"/>
          <w:lang w:val="en-US"/>
        </w:rPr>
        <w:t>y are appealing a matter that has already been definitively settled under the State’s internal law</w:t>
      </w:r>
      <w:r w:rsidRPr="00EA796A">
        <w:rPr>
          <w:rFonts w:cs="Times New Roman"/>
          <w:color w:val="000000" w:themeColor="text1"/>
          <w:szCs w:val="24"/>
          <w:lang w:val="en-US"/>
        </w:rPr>
        <w:t xml:space="preserve">. Thereby, they use the Court as a fourth instance, especially </w:t>
      </w:r>
      <w:r w:rsidR="00770BF5" w:rsidRPr="00EA796A">
        <w:rPr>
          <w:rFonts w:cs="Times New Roman"/>
          <w:color w:val="000000" w:themeColor="text1"/>
          <w:szCs w:val="24"/>
          <w:lang w:val="en-US"/>
        </w:rPr>
        <w:t>since</w:t>
      </w:r>
      <w:r w:rsidRPr="00EA796A">
        <w:rPr>
          <w:rFonts w:cs="Times New Roman"/>
          <w:color w:val="000000" w:themeColor="text1"/>
          <w:szCs w:val="24"/>
          <w:lang w:val="en-US"/>
        </w:rPr>
        <w:t xml:space="preserve"> reparations are meant to serve as full restitution and not as a means for enrichment.</w:t>
      </w:r>
    </w:p>
    <w:p w14:paraId="488F228E" w14:textId="7E80BAAA" w:rsidR="000051C5" w:rsidRPr="00EA796A" w:rsidRDefault="00CE461F" w:rsidP="00EF5B4E">
      <w:pPr>
        <w:spacing w:after="0"/>
        <w:rPr>
          <w:rFonts w:cs="Times New Roman"/>
          <w:color w:val="000000" w:themeColor="text1"/>
          <w:szCs w:val="24"/>
          <w:lang w:val="en-GB"/>
        </w:rPr>
      </w:pPr>
      <w:r w:rsidRPr="00EA796A">
        <w:rPr>
          <w:rFonts w:cs="Times New Roman"/>
          <w:color w:val="000000" w:themeColor="text1"/>
          <w:szCs w:val="24"/>
          <w:lang w:val="en-US"/>
        </w:rPr>
        <w:t>If t</w:t>
      </w:r>
      <w:r w:rsidR="00770BF5" w:rsidRPr="00EA796A">
        <w:rPr>
          <w:rFonts w:cs="Times New Roman"/>
          <w:color w:val="000000" w:themeColor="text1"/>
          <w:szCs w:val="24"/>
          <w:lang w:val="en-US"/>
        </w:rPr>
        <w:t>he Court</w:t>
      </w:r>
      <w:r w:rsidRPr="00EA796A">
        <w:rPr>
          <w:rFonts w:cs="Times New Roman"/>
          <w:color w:val="000000" w:themeColor="text1"/>
          <w:szCs w:val="24"/>
          <w:lang w:val="en-US"/>
        </w:rPr>
        <w:t xml:space="preserve"> would find violations nonetheless, it</w:t>
      </w:r>
      <w:r w:rsidR="00770BF5" w:rsidRPr="00EA796A">
        <w:rPr>
          <w:rFonts w:cs="Times New Roman"/>
          <w:color w:val="000000" w:themeColor="text1"/>
          <w:szCs w:val="24"/>
          <w:lang w:val="en-US"/>
        </w:rPr>
        <w:t xml:space="preserve"> should take into account that the State has already provided reparations in accordance with the Court’s case law</w:t>
      </w:r>
      <w:r w:rsidR="000051C5" w:rsidRPr="00EA796A">
        <w:rPr>
          <w:rFonts w:cs="Times New Roman"/>
          <w:color w:val="000000" w:themeColor="text1"/>
          <w:szCs w:val="24"/>
          <w:vertAlign w:val="superscript"/>
          <w:lang w:val="en-GB"/>
        </w:rPr>
        <w:footnoteReference w:id="193"/>
      </w:r>
      <w:r w:rsidR="000051C5" w:rsidRPr="00EA796A">
        <w:rPr>
          <w:rFonts w:cs="Times New Roman"/>
          <w:color w:val="000000" w:themeColor="text1"/>
          <w:szCs w:val="24"/>
          <w:lang w:val="en-GB"/>
        </w:rPr>
        <w:t xml:space="preserve"> </w:t>
      </w:r>
      <w:r w:rsidR="00770BF5" w:rsidRPr="00EA796A">
        <w:rPr>
          <w:rFonts w:cs="Times New Roman"/>
          <w:color w:val="000000" w:themeColor="text1"/>
          <w:szCs w:val="24"/>
          <w:lang w:val="en-GB"/>
        </w:rPr>
        <w:t>as well as</w:t>
      </w:r>
      <w:r w:rsidR="000051C5" w:rsidRPr="00EA796A">
        <w:rPr>
          <w:rFonts w:cs="Times New Roman"/>
          <w:color w:val="000000" w:themeColor="text1"/>
          <w:szCs w:val="24"/>
          <w:lang w:val="en-GB"/>
        </w:rPr>
        <w:t xml:space="preserve"> </w:t>
      </w:r>
      <w:r w:rsidRPr="00EA796A">
        <w:rPr>
          <w:rFonts w:cs="Times New Roman"/>
          <w:color w:val="000000" w:themeColor="text1"/>
          <w:szCs w:val="24"/>
          <w:lang w:val="en-GB"/>
        </w:rPr>
        <w:t>its</w:t>
      </w:r>
      <w:r w:rsidR="000051C5" w:rsidRPr="00EA796A">
        <w:rPr>
          <w:rFonts w:cs="Times New Roman"/>
          <w:color w:val="000000" w:themeColor="text1"/>
          <w:szCs w:val="24"/>
          <w:lang w:val="en-GB"/>
        </w:rPr>
        <w:t xml:space="preserve"> </w:t>
      </w:r>
      <w:r w:rsidR="006D177C" w:rsidRPr="00EA796A">
        <w:rPr>
          <w:rFonts w:cs="Times New Roman"/>
          <w:color w:val="000000" w:themeColor="text1"/>
          <w:szCs w:val="24"/>
          <w:lang w:val="en-GB"/>
        </w:rPr>
        <w:t>poor economic situation</w:t>
      </w:r>
      <w:r w:rsidR="000051C5" w:rsidRPr="00EA796A">
        <w:rPr>
          <w:rFonts w:cs="Times New Roman"/>
          <w:color w:val="000000" w:themeColor="text1"/>
          <w:szCs w:val="24"/>
          <w:lang w:val="en-GB"/>
        </w:rPr>
        <w:t xml:space="preserve">. </w:t>
      </w:r>
      <w:r w:rsidR="006D124B" w:rsidRPr="00EA796A">
        <w:rPr>
          <w:rFonts w:cs="Times New Roman"/>
          <w:color w:val="000000" w:themeColor="text1"/>
          <w:szCs w:val="24"/>
          <w:lang w:val="en-GB"/>
        </w:rPr>
        <w:t>Firstly, the State adopted guarantees of non-repetition by reforming its Constitution and establishing a plurinational state.</w:t>
      </w:r>
      <w:r w:rsidR="006D124B" w:rsidRPr="00EA796A">
        <w:rPr>
          <w:rStyle w:val="FootnoteReference"/>
          <w:rFonts w:cs="Times New Roman"/>
          <w:color w:val="000000" w:themeColor="text1"/>
          <w:szCs w:val="24"/>
          <w:lang w:val="en-GB"/>
        </w:rPr>
        <w:footnoteReference w:id="194"/>
      </w:r>
      <w:r w:rsidR="006D124B" w:rsidRPr="00EA796A">
        <w:rPr>
          <w:rFonts w:cs="Times New Roman"/>
          <w:color w:val="000000" w:themeColor="text1"/>
          <w:szCs w:val="24"/>
          <w:lang w:val="en-GB"/>
        </w:rPr>
        <w:t xml:space="preserve"> Moreover, the participation of society in the peace process and the uncovering of the truth by the HTC will prevent similar events to occur again.</w:t>
      </w:r>
      <w:r w:rsidR="00FD0DCE" w:rsidRPr="00EA796A">
        <w:rPr>
          <w:rFonts w:cs="Times New Roman"/>
          <w:color w:val="000000" w:themeColor="text1"/>
          <w:szCs w:val="24"/>
          <w:lang w:val="en-GB"/>
        </w:rPr>
        <w:t xml:space="preserve"> The State has ensured the victims’ right to participate in the drafting of the ACRL, the reform of the Constitution and the establishment of the reparations program. </w:t>
      </w:r>
      <w:r w:rsidR="00FD0DCE" w:rsidRPr="00EA796A">
        <w:rPr>
          <w:rFonts w:cs="Times New Roman"/>
          <w:color w:val="000000" w:themeColor="text1"/>
          <w:szCs w:val="24"/>
          <w:lang w:val="en-GB" w:eastAsia="nl-BE"/>
        </w:rPr>
        <w:t xml:space="preserve">When drafting the public policy on reparations, one of the State’s objectives was to redress the harm caused by the </w:t>
      </w:r>
      <w:r w:rsidR="00FD0DCE" w:rsidRPr="00EA796A">
        <w:rPr>
          <w:rFonts w:cs="Times New Roman"/>
          <w:color w:val="000000" w:themeColor="text1"/>
          <w:szCs w:val="24"/>
          <w:lang w:val="en-GB" w:eastAsia="nl-BE"/>
        </w:rPr>
        <w:lastRenderedPageBreak/>
        <w:t xml:space="preserve">conflict. Thereby, the State applied the standards of international human rights law with a view to provide a low-cost, streamlined administrative avenue with the possibility of judicial review. </w:t>
      </w:r>
      <w:r w:rsidR="006D124B" w:rsidRPr="00EA796A">
        <w:rPr>
          <w:rFonts w:cs="Times New Roman"/>
          <w:color w:val="000000" w:themeColor="text1"/>
          <w:szCs w:val="24"/>
          <w:lang w:val="en-GB"/>
        </w:rPr>
        <w:t xml:space="preserve">Secondly, the State has fulfilled its obligation to investigate, prosecute and punish those responsible. The State guaranteed the victims’ right to the truth by the establishment of the HTC and the judicial proceedings before the STT, which </w:t>
      </w:r>
      <w:r w:rsidRPr="00EA796A">
        <w:rPr>
          <w:rFonts w:cs="Times New Roman"/>
          <w:color w:val="000000" w:themeColor="text1"/>
          <w:szCs w:val="24"/>
          <w:lang w:val="en-GB"/>
        </w:rPr>
        <w:t>led</w:t>
      </w:r>
      <w:r w:rsidR="006D124B" w:rsidRPr="00EA796A">
        <w:rPr>
          <w:rFonts w:cs="Times New Roman"/>
          <w:color w:val="000000" w:themeColor="text1"/>
          <w:szCs w:val="24"/>
          <w:lang w:val="en-GB"/>
        </w:rPr>
        <w:t xml:space="preserve"> to the prosecution and punishment of the perpetrators. Thirdly, the State established an administrative reparations program for the victims, with the possibility to conclude a reparations agreement with the State.</w:t>
      </w:r>
      <w:r w:rsidR="006D124B" w:rsidRPr="00EA796A">
        <w:rPr>
          <w:rStyle w:val="FootnoteReference"/>
          <w:rFonts w:cs="Times New Roman"/>
          <w:color w:val="000000" w:themeColor="text1"/>
          <w:szCs w:val="24"/>
          <w:lang w:val="en-GB"/>
        </w:rPr>
        <w:footnoteReference w:id="195"/>
      </w:r>
      <w:r w:rsidR="006D124B" w:rsidRPr="00EA796A">
        <w:rPr>
          <w:rFonts w:cs="Times New Roman"/>
          <w:color w:val="000000" w:themeColor="text1"/>
          <w:szCs w:val="24"/>
          <w:lang w:val="en-US"/>
        </w:rPr>
        <w:t xml:space="preserve"> Fourthly</w:t>
      </w:r>
      <w:r w:rsidR="000051C5" w:rsidRPr="00EA796A">
        <w:rPr>
          <w:rFonts w:cs="Times New Roman"/>
          <w:color w:val="000000" w:themeColor="text1"/>
          <w:szCs w:val="24"/>
          <w:lang w:val="en-US"/>
        </w:rPr>
        <w:t xml:space="preserve">, as a measure of restitution and satisfaction, the State created a </w:t>
      </w:r>
      <w:r w:rsidR="000051C5" w:rsidRPr="00EA796A">
        <w:rPr>
          <w:rFonts w:cs="Times New Roman"/>
          <w:color w:val="000000" w:themeColor="text1"/>
          <w:szCs w:val="24"/>
          <w:lang w:val="en-GB"/>
        </w:rPr>
        <w:t>Search Commission in order to find disappeared persons,</w:t>
      </w:r>
      <w:r w:rsidR="000051C5" w:rsidRPr="00EA796A">
        <w:rPr>
          <w:rStyle w:val="FootnoteReference"/>
          <w:rFonts w:cs="Times New Roman"/>
          <w:color w:val="000000" w:themeColor="text1"/>
          <w:szCs w:val="24"/>
          <w:lang w:val="en-GB"/>
        </w:rPr>
        <w:footnoteReference w:id="196"/>
      </w:r>
      <w:r w:rsidR="000051C5" w:rsidRPr="00EA796A">
        <w:rPr>
          <w:rFonts w:cs="Times New Roman"/>
          <w:color w:val="000000" w:themeColor="text1"/>
          <w:szCs w:val="24"/>
          <w:lang w:val="en-GB"/>
        </w:rPr>
        <w:t xml:space="preserve"> and established a pr</w:t>
      </w:r>
      <w:r w:rsidR="006D177C" w:rsidRPr="00EA796A">
        <w:rPr>
          <w:rFonts w:cs="Times New Roman"/>
          <w:color w:val="000000" w:themeColor="text1"/>
          <w:szCs w:val="24"/>
          <w:lang w:val="en-GB"/>
        </w:rPr>
        <w:t>ogram for issuing land titles to</w:t>
      </w:r>
      <w:r w:rsidR="000051C5" w:rsidRPr="00EA796A">
        <w:rPr>
          <w:rFonts w:cs="Times New Roman"/>
          <w:color w:val="000000" w:themeColor="text1"/>
          <w:szCs w:val="24"/>
          <w:lang w:val="en-GB"/>
        </w:rPr>
        <w:t xml:space="preserve"> the Boneca.</w:t>
      </w:r>
      <w:r w:rsidR="000051C5" w:rsidRPr="00EA796A">
        <w:rPr>
          <w:rStyle w:val="FootnoteReference"/>
          <w:rFonts w:cs="Times New Roman"/>
          <w:color w:val="000000" w:themeColor="text1"/>
          <w:szCs w:val="24"/>
          <w:lang w:val="en-GB"/>
        </w:rPr>
        <w:footnoteReference w:id="197"/>
      </w:r>
      <w:r w:rsidR="000051C5" w:rsidRPr="00EA796A">
        <w:rPr>
          <w:rFonts w:cs="Times New Roman"/>
          <w:color w:val="000000" w:themeColor="text1"/>
          <w:szCs w:val="24"/>
          <w:lang w:val="en-GB"/>
        </w:rPr>
        <w:t xml:space="preserve"> </w:t>
      </w:r>
      <w:r w:rsidR="006D124B" w:rsidRPr="00EA796A">
        <w:rPr>
          <w:rFonts w:cs="Times New Roman"/>
          <w:color w:val="000000" w:themeColor="text1"/>
          <w:szCs w:val="24"/>
          <w:lang w:val="en-GB"/>
        </w:rPr>
        <w:t>Lastly</w:t>
      </w:r>
      <w:r w:rsidR="000051C5" w:rsidRPr="00EA796A">
        <w:rPr>
          <w:rFonts w:cs="Times New Roman"/>
          <w:color w:val="000000" w:themeColor="text1"/>
          <w:szCs w:val="24"/>
          <w:lang w:val="en-GB"/>
        </w:rPr>
        <w:t>, as a measure of rehabilitation, the State provided psychological and social services for the victims.</w:t>
      </w:r>
      <w:r w:rsidR="000051C5" w:rsidRPr="00EA796A">
        <w:rPr>
          <w:rStyle w:val="FootnoteReference"/>
          <w:rFonts w:cs="Times New Roman"/>
          <w:color w:val="000000" w:themeColor="text1"/>
          <w:szCs w:val="24"/>
          <w:lang w:val="en-GB"/>
        </w:rPr>
        <w:footnoteReference w:id="198"/>
      </w:r>
      <w:r w:rsidR="000051C5" w:rsidRPr="00EA796A">
        <w:rPr>
          <w:rFonts w:cs="Times New Roman"/>
          <w:color w:val="000000" w:themeColor="text1"/>
          <w:szCs w:val="24"/>
          <w:lang w:val="en-US"/>
        </w:rPr>
        <w:t xml:space="preserve"> </w:t>
      </w:r>
      <w:r w:rsidR="00B96058" w:rsidRPr="00EA796A">
        <w:rPr>
          <w:rFonts w:cs="Times New Roman"/>
          <w:color w:val="000000" w:themeColor="text1"/>
          <w:szCs w:val="24"/>
          <w:lang w:val="en-US"/>
        </w:rPr>
        <w:t>It should also be noted that t</w:t>
      </w:r>
      <w:r w:rsidR="000051C5" w:rsidRPr="00EA796A">
        <w:rPr>
          <w:rFonts w:cs="Times New Roman"/>
          <w:color w:val="000000" w:themeColor="text1"/>
          <w:szCs w:val="24"/>
          <w:lang w:val="en-US"/>
        </w:rPr>
        <w:t xml:space="preserve">he measures granted by the State </w:t>
      </w:r>
      <w:r w:rsidR="00B96058" w:rsidRPr="00EA796A">
        <w:rPr>
          <w:rFonts w:cs="Times New Roman"/>
          <w:color w:val="000000" w:themeColor="text1"/>
          <w:szCs w:val="24"/>
          <w:lang w:val="en-US"/>
        </w:rPr>
        <w:t>were</w:t>
      </w:r>
      <w:r w:rsidR="000051C5" w:rsidRPr="00EA796A">
        <w:rPr>
          <w:rFonts w:cs="Times New Roman"/>
          <w:color w:val="000000" w:themeColor="text1"/>
          <w:szCs w:val="24"/>
          <w:lang w:val="en-US"/>
        </w:rPr>
        <w:t xml:space="preserve"> already in line with the reparations ordered by the Commission in its joint merits report of January 2013.</w:t>
      </w:r>
      <w:r w:rsidR="000051C5" w:rsidRPr="00EA796A">
        <w:rPr>
          <w:rStyle w:val="FootnoteReference"/>
          <w:rFonts w:cs="Times New Roman"/>
          <w:color w:val="000000" w:themeColor="text1"/>
          <w:szCs w:val="24"/>
          <w:lang w:val="en-GB"/>
        </w:rPr>
        <w:footnoteReference w:id="199"/>
      </w:r>
      <w:r w:rsidR="000051C5" w:rsidRPr="00EA796A">
        <w:rPr>
          <w:rFonts w:cs="Times New Roman"/>
          <w:color w:val="000000" w:themeColor="text1"/>
          <w:szCs w:val="24"/>
          <w:lang w:val="en-GB"/>
        </w:rPr>
        <w:t xml:space="preserve"> Consequently, </w:t>
      </w:r>
      <w:r w:rsidR="00353CF4" w:rsidRPr="00EA796A">
        <w:rPr>
          <w:rFonts w:cs="Times New Roman"/>
          <w:color w:val="000000" w:themeColor="text1"/>
          <w:szCs w:val="24"/>
          <w:lang w:val="en-GB"/>
        </w:rPr>
        <w:t>the latter have no added value.</w:t>
      </w:r>
      <w:r w:rsidR="000051C5" w:rsidRPr="00EA796A">
        <w:rPr>
          <w:rFonts w:cs="Times New Roman"/>
          <w:color w:val="000000" w:themeColor="text1"/>
          <w:szCs w:val="24"/>
          <w:lang w:val="en-US"/>
        </w:rPr>
        <w:t xml:space="preserve"> </w:t>
      </w:r>
      <w:r w:rsidR="000051C5" w:rsidRPr="00EA796A">
        <w:rPr>
          <w:rFonts w:cs="Times New Roman"/>
          <w:color w:val="000000" w:themeColor="text1"/>
          <w:szCs w:val="24"/>
          <w:lang w:val="en-GB"/>
        </w:rPr>
        <w:t>For these reasons, the reparations reflect the outcome of an open and transparent process of consultation with civil society and the institutions involved.</w:t>
      </w:r>
      <w:r w:rsidR="000051C5" w:rsidRPr="00EA796A">
        <w:rPr>
          <w:rStyle w:val="FootnoteReference"/>
          <w:rFonts w:cs="Times New Roman"/>
          <w:color w:val="000000" w:themeColor="text1"/>
          <w:szCs w:val="24"/>
          <w:lang w:val="en-GB"/>
        </w:rPr>
        <w:footnoteReference w:id="200"/>
      </w:r>
    </w:p>
    <w:p w14:paraId="6589E69C" w14:textId="7085A5EC" w:rsidR="00BE3A14" w:rsidRPr="00EA796A" w:rsidRDefault="003124CE" w:rsidP="00EF5B4E">
      <w:pPr>
        <w:pStyle w:val="Heading1"/>
        <w:spacing w:before="0" w:after="0"/>
        <w:ind w:left="1080"/>
        <w:rPr>
          <w:rFonts w:ascii="Times New Roman" w:hAnsi="Times New Roman" w:cs="Times New Roman"/>
          <w:color w:val="000000" w:themeColor="text1"/>
          <w:sz w:val="24"/>
          <w:szCs w:val="24"/>
          <w:lang w:val="en-GB"/>
        </w:rPr>
      </w:pPr>
      <w:bookmarkStart w:id="126" w:name="_Toc288551035"/>
      <w:bookmarkStart w:id="127" w:name="_Toc288727707"/>
      <w:bookmarkStart w:id="128" w:name="_Toc288789572"/>
      <w:r w:rsidRPr="00EA796A">
        <w:rPr>
          <w:rFonts w:ascii="Times New Roman" w:hAnsi="Times New Roman" w:cs="Times New Roman"/>
          <w:color w:val="000000" w:themeColor="text1"/>
          <w:sz w:val="24"/>
          <w:szCs w:val="24"/>
          <w:lang w:val="en-GB"/>
        </w:rPr>
        <w:t>Request</w:t>
      </w:r>
      <w:r w:rsidR="00BE3A14" w:rsidRPr="00EA796A">
        <w:rPr>
          <w:rFonts w:ascii="Times New Roman" w:hAnsi="Times New Roman" w:cs="Times New Roman"/>
          <w:color w:val="000000" w:themeColor="text1"/>
          <w:sz w:val="24"/>
          <w:szCs w:val="24"/>
          <w:lang w:val="en-GB"/>
        </w:rPr>
        <w:t xml:space="preserve"> for Relief</w:t>
      </w:r>
      <w:bookmarkEnd w:id="126"/>
      <w:bookmarkEnd w:id="127"/>
      <w:bookmarkEnd w:id="128"/>
    </w:p>
    <w:p w14:paraId="7660DFD0" w14:textId="6F284650" w:rsidR="00BE3A14" w:rsidRPr="00EA796A" w:rsidRDefault="00CE461F" w:rsidP="00EF5B4E">
      <w:pPr>
        <w:spacing w:after="0"/>
        <w:rPr>
          <w:rFonts w:cs="Times New Roman"/>
          <w:color w:val="000000" w:themeColor="text1"/>
          <w:szCs w:val="24"/>
          <w:lang w:val="en-US"/>
        </w:rPr>
      </w:pPr>
      <w:r w:rsidRPr="00EA796A">
        <w:rPr>
          <w:rFonts w:cs="Times New Roman"/>
          <w:color w:val="000000" w:themeColor="text1"/>
          <w:szCs w:val="24"/>
          <w:lang w:val="en-US"/>
        </w:rPr>
        <w:t>For all these reasons</w:t>
      </w:r>
      <w:r w:rsidR="00770BF5" w:rsidRPr="00EA796A">
        <w:rPr>
          <w:rFonts w:cs="Times New Roman"/>
          <w:color w:val="000000" w:themeColor="text1"/>
          <w:szCs w:val="24"/>
          <w:lang w:val="en-US"/>
        </w:rPr>
        <w:t>, the Cardenal Republic</w:t>
      </w:r>
      <w:r w:rsidR="00BE3A14" w:rsidRPr="00EA796A">
        <w:rPr>
          <w:rFonts w:cs="Times New Roman"/>
          <w:color w:val="000000" w:themeColor="text1"/>
          <w:szCs w:val="24"/>
          <w:lang w:val="en-US"/>
        </w:rPr>
        <w:t xml:space="preserve"> respectfully reques</w:t>
      </w:r>
      <w:r w:rsidR="00046D8C" w:rsidRPr="00EA796A">
        <w:rPr>
          <w:rFonts w:cs="Times New Roman"/>
          <w:color w:val="000000" w:themeColor="text1"/>
          <w:szCs w:val="24"/>
          <w:lang w:val="en-US"/>
        </w:rPr>
        <w:t>ts the Inter-American Court of Human R</w:t>
      </w:r>
      <w:r w:rsidR="00BE3A14" w:rsidRPr="00EA796A">
        <w:rPr>
          <w:rFonts w:cs="Times New Roman"/>
          <w:color w:val="000000" w:themeColor="text1"/>
          <w:szCs w:val="24"/>
          <w:lang w:val="en-US"/>
        </w:rPr>
        <w:t>ights to:</w:t>
      </w:r>
    </w:p>
    <w:p w14:paraId="7D77130A" w14:textId="0093D77D" w:rsidR="00BE3A14" w:rsidRPr="00EA796A" w:rsidRDefault="00BE3A14" w:rsidP="00EF5B4E">
      <w:pPr>
        <w:pStyle w:val="ListParagraph"/>
        <w:numPr>
          <w:ilvl w:val="0"/>
          <w:numId w:val="12"/>
        </w:numPr>
        <w:spacing w:after="0"/>
        <w:rPr>
          <w:rFonts w:cs="Times New Roman"/>
          <w:color w:val="000000" w:themeColor="text1"/>
          <w:szCs w:val="24"/>
          <w:lang w:val="en-US"/>
        </w:rPr>
      </w:pPr>
      <w:r w:rsidRPr="00EA796A">
        <w:rPr>
          <w:rFonts w:cs="Times New Roman"/>
          <w:color w:val="000000" w:themeColor="text1"/>
          <w:szCs w:val="24"/>
          <w:lang w:val="en-US"/>
        </w:rPr>
        <w:t xml:space="preserve">Hold that the Court has no </w:t>
      </w:r>
      <w:r w:rsidR="00046D8C" w:rsidRPr="00EA796A">
        <w:rPr>
          <w:rFonts w:cs="Times New Roman"/>
          <w:color w:val="000000" w:themeColor="text1"/>
          <w:szCs w:val="24"/>
          <w:lang w:val="en-US"/>
        </w:rPr>
        <w:t>jurisdiction</w:t>
      </w:r>
      <w:r w:rsidRPr="00EA796A">
        <w:rPr>
          <w:rFonts w:cs="Times New Roman"/>
          <w:color w:val="000000" w:themeColor="text1"/>
          <w:szCs w:val="24"/>
          <w:lang w:val="en-US"/>
        </w:rPr>
        <w:t xml:space="preserve"> </w:t>
      </w:r>
      <w:r w:rsidRPr="00EA796A">
        <w:rPr>
          <w:rFonts w:cs="Times New Roman"/>
          <w:i/>
          <w:color w:val="000000" w:themeColor="text1"/>
          <w:szCs w:val="24"/>
          <w:lang w:val="en-US"/>
        </w:rPr>
        <w:t>ratione materiae</w:t>
      </w:r>
      <w:r w:rsidRPr="00EA796A">
        <w:rPr>
          <w:rFonts w:cs="Times New Roman"/>
          <w:color w:val="000000" w:themeColor="text1"/>
          <w:szCs w:val="24"/>
          <w:lang w:val="en-US"/>
        </w:rPr>
        <w:t xml:space="preserve"> over the case</w:t>
      </w:r>
      <w:r w:rsidR="00BC7C99" w:rsidRPr="00EA796A">
        <w:rPr>
          <w:rFonts w:cs="Times New Roman"/>
          <w:color w:val="000000" w:themeColor="text1"/>
          <w:szCs w:val="24"/>
          <w:lang w:val="en-US"/>
        </w:rPr>
        <w:t xml:space="preserve"> given the arguments set forth in </w:t>
      </w:r>
      <w:r w:rsidR="008405AA" w:rsidRPr="00EA796A">
        <w:rPr>
          <w:rFonts w:cs="Times New Roman"/>
          <w:color w:val="000000" w:themeColor="text1"/>
          <w:szCs w:val="24"/>
          <w:lang w:val="en-US"/>
        </w:rPr>
        <w:t>paragraphs 1 until 4</w:t>
      </w:r>
      <w:r w:rsidRPr="00EA796A">
        <w:rPr>
          <w:rFonts w:cs="Times New Roman"/>
          <w:color w:val="000000" w:themeColor="text1"/>
          <w:szCs w:val="24"/>
          <w:lang w:val="en-US"/>
        </w:rPr>
        <w:t>;</w:t>
      </w:r>
      <w:r w:rsidR="00046D8C" w:rsidRPr="00EA796A">
        <w:rPr>
          <w:rFonts w:cs="Times New Roman"/>
          <w:color w:val="000000" w:themeColor="text1"/>
          <w:szCs w:val="24"/>
          <w:lang w:val="en-US"/>
        </w:rPr>
        <w:t xml:space="preserve"> </w:t>
      </w:r>
    </w:p>
    <w:p w14:paraId="5C2256CD" w14:textId="1E38CE72" w:rsidR="00BE3A14" w:rsidRPr="00EA796A" w:rsidRDefault="00BE3A14" w:rsidP="00EF5B4E">
      <w:pPr>
        <w:pStyle w:val="ListParagraph"/>
        <w:numPr>
          <w:ilvl w:val="0"/>
          <w:numId w:val="12"/>
        </w:numPr>
        <w:spacing w:after="0"/>
        <w:rPr>
          <w:rFonts w:cs="Times New Roman"/>
          <w:color w:val="000000" w:themeColor="text1"/>
          <w:szCs w:val="24"/>
          <w:lang w:val="en-US"/>
        </w:rPr>
      </w:pPr>
      <w:r w:rsidRPr="00EA796A">
        <w:rPr>
          <w:rFonts w:cs="Times New Roman"/>
          <w:color w:val="000000" w:themeColor="text1"/>
          <w:szCs w:val="24"/>
          <w:lang w:val="en-US"/>
        </w:rPr>
        <w:lastRenderedPageBreak/>
        <w:t xml:space="preserve">Declare the petitions </w:t>
      </w:r>
      <w:r w:rsidR="00046D8C" w:rsidRPr="00EA796A">
        <w:rPr>
          <w:rFonts w:cs="Times New Roman"/>
          <w:color w:val="000000" w:themeColor="text1"/>
          <w:szCs w:val="24"/>
          <w:lang w:val="en-US"/>
        </w:rPr>
        <w:t>inadmissible</w:t>
      </w:r>
      <w:r w:rsidRPr="00EA796A">
        <w:rPr>
          <w:rFonts w:cs="Times New Roman"/>
          <w:color w:val="000000" w:themeColor="text1"/>
          <w:szCs w:val="24"/>
          <w:lang w:val="en-US"/>
        </w:rPr>
        <w:t xml:space="preserve"> for the following reasons:</w:t>
      </w:r>
      <w:r w:rsidR="00046D8C" w:rsidRPr="00EA796A">
        <w:rPr>
          <w:rFonts w:cs="Times New Roman"/>
          <w:color w:val="000000" w:themeColor="text1"/>
          <w:szCs w:val="24"/>
          <w:lang w:val="en-US"/>
        </w:rPr>
        <w:t xml:space="preserve"> </w:t>
      </w:r>
    </w:p>
    <w:p w14:paraId="2C68CD2B" w14:textId="06EC866F" w:rsidR="00BE3A14" w:rsidRPr="00EA796A" w:rsidRDefault="00BE3A14" w:rsidP="00EF5B4E">
      <w:pPr>
        <w:pStyle w:val="ListParagraph"/>
        <w:numPr>
          <w:ilvl w:val="1"/>
          <w:numId w:val="12"/>
        </w:numPr>
        <w:spacing w:after="0"/>
        <w:rPr>
          <w:rFonts w:cs="Times New Roman"/>
          <w:color w:val="000000" w:themeColor="text1"/>
          <w:szCs w:val="24"/>
          <w:lang w:val="en-US"/>
        </w:rPr>
      </w:pPr>
      <w:r w:rsidRPr="00EA796A">
        <w:rPr>
          <w:rFonts w:cs="Times New Roman"/>
          <w:color w:val="000000" w:themeColor="text1"/>
          <w:szCs w:val="24"/>
          <w:lang w:val="en-US"/>
        </w:rPr>
        <w:t xml:space="preserve">Mrs. </w:t>
      </w:r>
      <w:r w:rsidR="008740AF" w:rsidRPr="00EA796A">
        <w:rPr>
          <w:rFonts w:cs="Times New Roman"/>
          <w:color w:val="000000" w:themeColor="text1"/>
          <w:szCs w:val="24"/>
          <w:lang w:val="en-US"/>
        </w:rPr>
        <w:t>López</w:t>
      </w:r>
      <w:r w:rsidRPr="00EA796A">
        <w:rPr>
          <w:rFonts w:cs="Times New Roman"/>
          <w:color w:val="000000" w:themeColor="text1"/>
          <w:szCs w:val="24"/>
          <w:lang w:val="en-US"/>
        </w:rPr>
        <w:t>,</w:t>
      </w:r>
      <w:r w:rsidR="00046D8C" w:rsidRPr="00EA796A">
        <w:rPr>
          <w:rFonts w:cs="Times New Roman"/>
          <w:color w:val="000000" w:themeColor="text1"/>
          <w:szCs w:val="24"/>
          <w:lang w:val="en-US"/>
        </w:rPr>
        <w:t xml:space="preserve"> Mrs. Bolt,</w:t>
      </w:r>
      <w:r w:rsidR="00933D6E" w:rsidRPr="00EA796A">
        <w:rPr>
          <w:rFonts w:cs="Times New Roman"/>
          <w:color w:val="000000" w:themeColor="text1"/>
          <w:szCs w:val="24"/>
          <w:lang w:val="en-US"/>
        </w:rPr>
        <w:t xml:space="preserve"> Mr. and Ms.</w:t>
      </w:r>
      <w:r w:rsidRPr="00EA796A">
        <w:rPr>
          <w:rFonts w:cs="Times New Roman"/>
          <w:color w:val="000000" w:themeColor="text1"/>
          <w:szCs w:val="24"/>
          <w:lang w:val="en-US"/>
        </w:rPr>
        <w:t xml:space="preserve"> Rossi di</w:t>
      </w:r>
      <w:r w:rsidR="00046D8C" w:rsidRPr="00EA796A">
        <w:rPr>
          <w:rFonts w:cs="Times New Roman"/>
          <w:color w:val="000000" w:themeColor="text1"/>
          <w:szCs w:val="24"/>
          <w:lang w:val="en-US"/>
        </w:rPr>
        <w:t>d not exhaust domestic remedies in accordance with Art. 46 ACHR;</w:t>
      </w:r>
    </w:p>
    <w:p w14:paraId="7A0DCC46" w14:textId="308AB347" w:rsidR="00BE3A14" w:rsidRPr="00EA796A" w:rsidRDefault="00BE3A14" w:rsidP="00EF5B4E">
      <w:pPr>
        <w:pStyle w:val="ListParagraph"/>
        <w:numPr>
          <w:ilvl w:val="1"/>
          <w:numId w:val="12"/>
        </w:numPr>
        <w:spacing w:after="0"/>
        <w:rPr>
          <w:rFonts w:cs="Times New Roman"/>
          <w:color w:val="000000" w:themeColor="text1"/>
          <w:szCs w:val="24"/>
          <w:lang w:val="en-US"/>
        </w:rPr>
      </w:pPr>
      <w:r w:rsidRPr="00EA796A">
        <w:rPr>
          <w:rFonts w:cs="Times New Roman"/>
          <w:color w:val="000000" w:themeColor="text1"/>
          <w:szCs w:val="24"/>
          <w:lang w:val="en-US"/>
        </w:rPr>
        <w:t>The</w:t>
      </w:r>
      <w:r w:rsidR="00046D8C" w:rsidRPr="00EA796A">
        <w:rPr>
          <w:rFonts w:cs="Times New Roman"/>
          <w:color w:val="000000" w:themeColor="text1"/>
          <w:szCs w:val="24"/>
          <w:lang w:val="en-US"/>
        </w:rPr>
        <w:t xml:space="preserve"> proceedings before the</w:t>
      </w:r>
      <w:r w:rsidRPr="00EA796A">
        <w:rPr>
          <w:rFonts w:cs="Times New Roman"/>
          <w:color w:val="000000" w:themeColor="text1"/>
          <w:szCs w:val="24"/>
          <w:lang w:val="en-US"/>
        </w:rPr>
        <w:t xml:space="preserve"> Commission violated the State’s right to defense.</w:t>
      </w:r>
    </w:p>
    <w:p w14:paraId="7E62A4A5" w14:textId="64CC6918" w:rsidR="00BE3A14" w:rsidRPr="00EA796A" w:rsidRDefault="00046D8C" w:rsidP="00EF5B4E">
      <w:pPr>
        <w:pStyle w:val="ListParagraph"/>
        <w:numPr>
          <w:ilvl w:val="0"/>
          <w:numId w:val="12"/>
        </w:numPr>
        <w:spacing w:after="0"/>
        <w:rPr>
          <w:rFonts w:cs="Times New Roman"/>
          <w:color w:val="000000" w:themeColor="text1"/>
          <w:szCs w:val="24"/>
        </w:rPr>
      </w:pPr>
      <w:r w:rsidRPr="00EA796A">
        <w:rPr>
          <w:rFonts w:cs="Times New Roman"/>
          <w:color w:val="000000" w:themeColor="text1"/>
          <w:szCs w:val="24"/>
        </w:rPr>
        <w:t>S</w:t>
      </w:r>
      <w:r w:rsidR="00BE3A14" w:rsidRPr="00EA796A">
        <w:rPr>
          <w:rFonts w:cs="Times New Roman"/>
          <w:color w:val="000000" w:themeColor="text1"/>
          <w:szCs w:val="24"/>
        </w:rPr>
        <w:t>ubsidiarily</w:t>
      </w:r>
      <w:r w:rsidRPr="00EA796A">
        <w:rPr>
          <w:rFonts w:cs="Times New Roman"/>
          <w:color w:val="000000" w:themeColor="text1"/>
          <w:szCs w:val="24"/>
        </w:rPr>
        <w:t>, to</w:t>
      </w:r>
      <w:r w:rsidR="00BE3A14" w:rsidRPr="00EA796A">
        <w:rPr>
          <w:rFonts w:cs="Times New Roman"/>
          <w:color w:val="000000" w:themeColor="text1"/>
          <w:szCs w:val="24"/>
        </w:rPr>
        <w:t xml:space="preserve"> </w:t>
      </w:r>
      <w:r w:rsidR="00A572BD" w:rsidRPr="00EA796A">
        <w:rPr>
          <w:rFonts w:cs="Times New Roman"/>
          <w:color w:val="000000" w:themeColor="text1"/>
          <w:szCs w:val="24"/>
        </w:rPr>
        <w:t>hold</w:t>
      </w:r>
      <w:r w:rsidR="00BE3A14" w:rsidRPr="00EA796A">
        <w:rPr>
          <w:rFonts w:cs="Times New Roman"/>
          <w:color w:val="000000" w:themeColor="text1"/>
          <w:szCs w:val="24"/>
        </w:rPr>
        <w:t xml:space="preserve"> that:</w:t>
      </w:r>
    </w:p>
    <w:p w14:paraId="29533AAA" w14:textId="7CCBCA92" w:rsidR="00BE3A14" w:rsidRPr="00EA796A" w:rsidRDefault="00BE3A14" w:rsidP="00EF5B4E">
      <w:pPr>
        <w:pStyle w:val="ListParagraph"/>
        <w:numPr>
          <w:ilvl w:val="1"/>
          <w:numId w:val="12"/>
        </w:numPr>
        <w:spacing w:after="0"/>
        <w:rPr>
          <w:rFonts w:cs="Times New Roman"/>
          <w:color w:val="000000" w:themeColor="text1"/>
          <w:szCs w:val="24"/>
          <w:lang w:val="en-US"/>
        </w:rPr>
      </w:pPr>
      <w:r w:rsidRPr="00EA796A">
        <w:rPr>
          <w:rFonts w:cs="Times New Roman"/>
          <w:color w:val="000000" w:themeColor="text1"/>
          <w:szCs w:val="24"/>
          <w:lang w:val="en-US"/>
        </w:rPr>
        <w:t xml:space="preserve">The Accountability, Closure and Reconciliation Law is </w:t>
      </w:r>
      <w:r w:rsidR="008405AA" w:rsidRPr="00EA796A">
        <w:rPr>
          <w:rFonts w:cs="Times New Roman"/>
          <w:color w:val="000000" w:themeColor="text1"/>
          <w:szCs w:val="24"/>
          <w:lang w:val="en-US"/>
        </w:rPr>
        <w:t>compatible</w:t>
      </w:r>
      <w:r w:rsidRPr="00EA796A">
        <w:rPr>
          <w:rFonts w:cs="Times New Roman"/>
          <w:color w:val="000000" w:themeColor="text1"/>
          <w:szCs w:val="24"/>
          <w:lang w:val="en-US"/>
        </w:rPr>
        <w:t xml:space="preserve"> with Art. 8 and 25 </w:t>
      </w:r>
      <w:r w:rsidR="008405AA" w:rsidRPr="00EA796A">
        <w:rPr>
          <w:rFonts w:cs="Times New Roman"/>
          <w:i/>
          <w:color w:val="000000" w:themeColor="text1"/>
          <w:szCs w:val="24"/>
          <w:lang w:val="en-US"/>
        </w:rPr>
        <w:t>juncto</w:t>
      </w:r>
      <w:r w:rsidR="00F00A5F" w:rsidRPr="00EA796A">
        <w:rPr>
          <w:rFonts w:cs="Times New Roman"/>
          <w:color w:val="000000" w:themeColor="text1"/>
          <w:szCs w:val="24"/>
          <w:lang w:val="en-US"/>
        </w:rPr>
        <w:t xml:space="preserve"> 1</w:t>
      </w:r>
      <w:r w:rsidR="008405AA" w:rsidRPr="00EA796A">
        <w:rPr>
          <w:rFonts w:cs="Times New Roman"/>
          <w:color w:val="000000" w:themeColor="text1"/>
          <w:szCs w:val="24"/>
          <w:lang w:val="en-US"/>
        </w:rPr>
        <w:t>(1)</w:t>
      </w:r>
      <w:r w:rsidR="00F00A5F" w:rsidRPr="00EA796A">
        <w:rPr>
          <w:rFonts w:cs="Times New Roman"/>
          <w:color w:val="000000" w:themeColor="text1"/>
          <w:szCs w:val="24"/>
          <w:lang w:val="en-US"/>
        </w:rPr>
        <w:t xml:space="preserve"> and 2 </w:t>
      </w:r>
      <w:r w:rsidRPr="00EA796A">
        <w:rPr>
          <w:rFonts w:cs="Times New Roman"/>
          <w:color w:val="000000" w:themeColor="text1"/>
          <w:szCs w:val="24"/>
          <w:lang w:val="en-US"/>
        </w:rPr>
        <w:t>of the American Convention on Human Rights;</w:t>
      </w:r>
    </w:p>
    <w:p w14:paraId="78FE54CF" w14:textId="607EE654" w:rsidR="00BE3A14" w:rsidRPr="00EA796A" w:rsidRDefault="00BE3A14" w:rsidP="00EF5B4E">
      <w:pPr>
        <w:pStyle w:val="ListParagraph"/>
        <w:numPr>
          <w:ilvl w:val="1"/>
          <w:numId w:val="12"/>
        </w:numPr>
        <w:spacing w:after="0"/>
        <w:rPr>
          <w:rFonts w:cs="Times New Roman"/>
          <w:color w:val="000000" w:themeColor="text1"/>
          <w:szCs w:val="24"/>
          <w:lang w:val="en-US"/>
        </w:rPr>
      </w:pPr>
      <w:r w:rsidRPr="00EA796A">
        <w:rPr>
          <w:rFonts w:cs="Times New Roman"/>
          <w:color w:val="000000" w:themeColor="text1"/>
          <w:szCs w:val="24"/>
          <w:lang w:val="en-US"/>
        </w:rPr>
        <w:t xml:space="preserve">The Cardenal Republic did not violate Art. 3, 4, 5, 7 and 24 </w:t>
      </w:r>
      <w:r w:rsidR="008405AA" w:rsidRPr="00EA796A">
        <w:rPr>
          <w:rFonts w:cs="Times New Roman"/>
          <w:i/>
          <w:color w:val="000000" w:themeColor="text1"/>
          <w:szCs w:val="24"/>
          <w:lang w:val="en-US"/>
        </w:rPr>
        <w:t>juncto</w:t>
      </w:r>
      <w:r w:rsidRPr="00EA796A">
        <w:rPr>
          <w:rFonts w:cs="Times New Roman"/>
          <w:color w:val="000000" w:themeColor="text1"/>
          <w:szCs w:val="24"/>
          <w:lang w:val="en-US"/>
        </w:rPr>
        <w:t xml:space="preserve"> 1(1) and 2, nor any other article of the American Convention on Human Rights with regard to Ricardo and Annika Bolt;</w:t>
      </w:r>
    </w:p>
    <w:p w14:paraId="50088D39" w14:textId="7F571CC6" w:rsidR="00BE3A14" w:rsidRPr="00EA796A" w:rsidRDefault="00BE3A14" w:rsidP="00EF5B4E">
      <w:pPr>
        <w:pStyle w:val="ListParagraph"/>
        <w:numPr>
          <w:ilvl w:val="1"/>
          <w:numId w:val="12"/>
        </w:numPr>
        <w:spacing w:after="0"/>
        <w:rPr>
          <w:rFonts w:cs="Times New Roman"/>
          <w:color w:val="000000" w:themeColor="text1"/>
          <w:szCs w:val="24"/>
          <w:lang w:val="en-US"/>
        </w:rPr>
      </w:pPr>
      <w:r w:rsidRPr="00EA796A">
        <w:rPr>
          <w:rFonts w:cs="Times New Roman"/>
          <w:color w:val="000000" w:themeColor="text1"/>
          <w:szCs w:val="24"/>
          <w:lang w:val="en-US"/>
        </w:rPr>
        <w:t>The Cardenal Republic did not violate Art. 4</w:t>
      </w:r>
      <w:r w:rsidR="008405AA" w:rsidRPr="00EA796A">
        <w:rPr>
          <w:rFonts w:cs="Times New Roman"/>
          <w:color w:val="000000" w:themeColor="text1"/>
          <w:szCs w:val="24"/>
          <w:lang w:val="en-US"/>
        </w:rPr>
        <w:t xml:space="preserve"> </w:t>
      </w:r>
      <w:r w:rsidR="008405AA" w:rsidRPr="00EA796A">
        <w:rPr>
          <w:rFonts w:cs="Times New Roman"/>
          <w:i/>
          <w:color w:val="000000" w:themeColor="text1"/>
          <w:szCs w:val="24"/>
          <w:lang w:val="en-US"/>
        </w:rPr>
        <w:t>juncto</w:t>
      </w:r>
      <w:r w:rsidRPr="00EA796A">
        <w:rPr>
          <w:rFonts w:cs="Times New Roman"/>
          <w:color w:val="000000" w:themeColor="text1"/>
          <w:szCs w:val="24"/>
          <w:lang w:val="en-US"/>
        </w:rPr>
        <w:t xml:space="preserve"> 1(1) and 2, nor any other article of the American Convention on Human Rights with regard to Aníbal and Lupita Ló</w:t>
      </w:r>
      <w:r w:rsidR="00046D8C" w:rsidRPr="00EA796A">
        <w:rPr>
          <w:rFonts w:cs="Times New Roman"/>
          <w:color w:val="000000" w:themeColor="text1"/>
          <w:szCs w:val="24"/>
          <w:lang w:val="en-US"/>
        </w:rPr>
        <w:t xml:space="preserve">pez and Lucrecia, Emily and </w:t>
      </w:r>
      <w:r w:rsidRPr="00EA796A">
        <w:rPr>
          <w:rFonts w:cs="Times New Roman"/>
          <w:color w:val="000000" w:themeColor="text1"/>
          <w:szCs w:val="24"/>
          <w:lang w:val="en-US"/>
        </w:rPr>
        <w:t>Maximiliano Rossi.</w:t>
      </w:r>
    </w:p>
    <w:p w14:paraId="64567D5A" w14:textId="33DBD62D" w:rsidR="00046D8C" w:rsidRPr="00EA796A" w:rsidRDefault="00046D8C" w:rsidP="003B7073">
      <w:pPr>
        <w:pStyle w:val="ListParagraph"/>
        <w:numPr>
          <w:ilvl w:val="0"/>
          <w:numId w:val="12"/>
        </w:numPr>
        <w:spacing w:after="0"/>
        <w:rPr>
          <w:rFonts w:cs="Times New Roman"/>
          <w:color w:val="000000" w:themeColor="text1"/>
          <w:szCs w:val="24"/>
          <w:lang w:val="en-US"/>
        </w:rPr>
      </w:pPr>
      <w:r w:rsidRPr="00EA796A">
        <w:rPr>
          <w:rFonts w:cs="Times New Roman"/>
          <w:color w:val="000000" w:themeColor="text1"/>
          <w:szCs w:val="24"/>
          <w:lang w:val="en-US"/>
        </w:rPr>
        <w:t>In the most subsidiary order, h</w:t>
      </w:r>
      <w:r w:rsidR="00BE3A14" w:rsidRPr="00EA796A">
        <w:rPr>
          <w:rFonts w:cs="Times New Roman"/>
          <w:color w:val="000000" w:themeColor="text1"/>
          <w:szCs w:val="24"/>
          <w:lang w:val="en-US"/>
        </w:rPr>
        <w:t>old that no further reparations are needed</w:t>
      </w:r>
      <w:r w:rsidRPr="00EA796A">
        <w:rPr>
          <w:rFonts w:cs="Times New Roman"/>
          <w:color w:val="000000" w:themeColor="text1"/>
          <w:szCs w:val="24"/>
          <w:lang w:val="en-US"/>
        </w:rPr>
        <w:t xml:space="preserve"> should the Court hold that there are </w:t>
      </w:r>
      <w:r w:rsidR="00BE3A14" w:rsidRPr="00EA796A">
        <w:rPr>
          <w:rFonts w:cs="Times New Roman"/>
          <w:color w:val="000000" w:themeColor="text1"/>
          <w:szCs w:val="24"/>
          <w:lang w:val="en-US"/>
        </w:rPr>
        <w:t>any violations, since the Cardenal Republic sufficiently provided internal reparations.</w:t>
      </w:r>
    </w:p>
    <w:p w14:paraId="13B44914" w14:textId="77777777" w:rsidR="003B7073" w:rsidRPr="00EA796A" w:rsidRDefault="003B7073" w:rsidP="003B7073">
      <w:pPr>
        <w:pStyle w:val="ListParagraph"/>
        <w:numPr>
          <w:ilvl w:val="0"/>
          <w:numId w:val="0"/>
        </w:numPr>
        <w:spacing w:after="0"/>
        <w:ind w:left="360"/>
        <w:rPr>
          <w:rFonts w:cs="Times New Roman"/>
          <w:color w:val="000000" w:themeColor="text1"/>
          <w:szCs w:val="24"/>
          <w:lang w:val="en-US"/>
        </w:rPr>
      </w:pPr>
    </w:p>
    <w:p w14:paraId="745FFD9A" w14:textId="0B5A60ED" w:rsidR="00046D8C" w:rsidRPr="00EA796A" w:rsidRDefault="00046D8C" w:rsidP="00EF5B4E">
      <w:pPr>
        <w:numPr>
          <w:ilvl w:val="0"/>
          <w:numId w:val="0"/>
        </w:numPr>
        <w:spacing w:after="0"/>
        <w:rPr>
          <w:rFonts w:cs="Times New Roman"/>
          <w:color w:val="000000" w:themeColor="text1"/>
          <w:szCs w:val="24"/>
          <w:lang w:val="en-US"/>
        </w:rPr>
      </w:pPr>
      <w:r w:rsidRPr="00EA796A">
        <w:rPr>
          <w:rFonts w:cs="Times New Roman"/>
          <w:color w:val="000000" w:themeColor="text1"/>
          <w:szCs w:val="24"/>
          <w:lang w:val="en-US"/>
        </w:rPr>
        <w:t>Respectfully,</w:t>
      </w:r>
    </w:p>
    <w:p w14:paraId="35FBCEA5" w14:textId="1833564D" w:rsidR="002A4C27" w:rsidRPr="00EA796A" w:rsidRDefault="00046D8C" w:rsidP="00EF5B4E">
      <w:pPr>
        <w:numPr>
          <w:ilvl w:val="0"/>
          <w:numId w:val="0"/>
        </w:numPr>
        <w:spacing w:after="0"/>
        <w:ind w:firstLine="284"/>
        <w:rPr>
          <w:rFonts w:cs="Times New Roman"/>
          <w:color w:val="000000" w:themeColor="text1"/>
          <w:szCs w:val="24"/>
          <w:lang w:val="en-US"/>
        </w:rPr>
      </w:pPr>
      <w:r w:rsidRPr="00EA796A">
        <w:rPr>
          <w:rFonts w:cs="Times New Roman"/>
          <w:color w:val="000000" w:themeColor="text1"/>
          <w:szCs w:val="24"/>
          <w:lang w:val="en-US"/>
        </w:rPr>
        <w:t>The Cardenal Republic</w:t>
      </w:r>
    </w:p>
    <w:sectPr w:rsidR="002A4C27" w:rsidRPr="00EA796A" w:rsidSect="00EA796A">
      <w:headerReference w:type="default" r:id="rId8"/>
      <w:footerReference w:type="default" r:id="rId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594EB" w14:textId="77777777" w:rsidR="003A1201" w:rsidRDefault="003A1201" w:rsidP="00BE3A14">
      <w:pPr>
        <w:spacing w:after="0" w:line="240" w:lineRule="auto"/>
      </w:pPr>
      <w:r>
        <w:separator/>
      </w:r>
    </w:p>
  </w:endnote>
  <w:endnote w:type="continuationSeparator" w:id="0">
    <w:p w14:paraId="28DED959" w14:textId="77777777" w:rsidR="003A1201" w:rsidRDefault="003A1201" w:rsidP="00BE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9441"/>
      <w:docPartObj>
        <w:docPartGallery w:val="Page Numbers (Bottom of Page)"/>
        <w:docPartUnique/>
      </w:docPartObj>
    </w:sdtPr>
    <w:sdtEndPr/>
    <w:sdtContent>
      <w:p w14:paraId="31033CBE" w14:textId="77777777" w:rsidR="003A1201" w:rsidRDefault="003A1201" w:rsidP="00596824">
        <w:pPr>
          <w:pStyle w:val="Footer"/>
          <w:numPr>
            <w:ilvl w:val="0"/>
            <w:numId w:val="0"/>
          </w:numPr>
          <w:jc w:val="right"/>
        </w:pPr>
        <w:r>
          <w:fldChar w:fldCharType="begin"/>
        </w:r>
        <w:r>
          <w:instrText xml:space="preserve"> PAGE   \* MERGEFORMAT </w:instrText>
        </w:r>
        <w:r>
          <w:fldChar w:fldCharType="separate"/>
        </w:r>
        <w:r w:rsidR="00181BDE">
          <w:rPr>
            <w:noProof/>
          </w:rPr>
          <w:t>1</w:t>
        </w:r>
        <w:r>
          <w:rPr>
            <w:noProof/>
          </w:rPr>
          <w:fldChar w:fldCharType="end"/>
        </w:r>
      </w:p>
    </w:sdtContent>
  </w:sdt>
  <w:p w14:paraId="643E0ED3" w14:textId="77777777" w:rsidR="003A1201" w:rsidRDefault="003A1201" w:rsidP="00596824">
    <w:pPr>
      <w:pStyle w:val="Footer"/>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E34D4" w14:textId="77777777" w:rsidR="003A1201" w:rsidRDefault="003A1201" w:rsidP="00A7350E">
      <w:pPr>
        <w:numPr>
          <w:ilvl w:val="0"/>
          <w:numId w:val="0"/>
        </w:numPr>
        <w:spacing w:after="0" w:line="240" w:lineRule="auto"/>
      </w:pPr>
      <w:r>
        <w:separator/>
      </w:r>
    </w:p>
  </w:footnote>
  <w:footnote w:type="continuationSeparator" w:id="0">
    <w:p w14:paraId="6D9CFB4A" w14:textId="77777777" w:rsidR="003A1201" w:rsidRDefault="003A1201" w:rsidP="00A7350E">
      <w:pPr>
        <w:numPr>
          <w:ilvl w:val="0"/>
          <w:numId w:val="0"/>
        </w:numPr>
        <w:spacing w:after="0" w:line="240" w:lineRule="auto"/>
      </w:pPr>
      <w:r>
        <w:continuationSeparator/>
      </w:r>
    </w:p>
  </w:footnote>
  <w:footnote w:type="continuationNotice" w:id="1">
    <w:p w14:paraId="15E4FE6F" w14:textId="77777777" w:rsidR="003A1201" w:rsidRDefault="003A1201" w:rsidP="00A7350E">
      <w:pPr>
        <w:numPr>
          <w:ilvl w:val="0"/>
          <w:numId w:val="0"/>
        </w:numPr>
        <w:spacing w:after="0" w:line="240" w:lineRule="auto"/>
      </w:pPr>
    </w:p>
  </w:footnote>
  <w:footnote w:id="2">
    <w:p w14:paraId="20F4BE62" w14:textId="0116B4E1"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p.1, §4.</w:t>
      </w:r>
    </w:p>
  </w:footnote>
  <w:footnote w:id="3">
    <w:p w14:paraId="02F4ACCF" w14:textId="1B40FA3F" w:rsidR="003A1201" w:rsidRPr="00485152" w:rsidRDefault="003A1201" w:rsidP="000D1F78">
      <w:pPr>
        <w:pStyle w:val="FootnoteText"/>
        <w:numPr>
          <w:ilvl w:val="0"/>
          <w:numId w:val="0"/>
        </w:numPr>
        <w:rPr>
          <w:sz w:val="20"/>
          <w:szCs w:val="20"/>
          <w:lang w:val="fr-FR"/>
        </w:rPr>
      </w:pPr>
      <w:r w:rsidRPr="00485152">
        <w:rPr>
          <w:rStyle w:val="FootnoteReference"/>
          <w:sz w:val="20"/>
          <w:szCs w:val="20"/>
        </w:rPr>
        <w:footnoteRef/>
      </w:r>
      <w:r w:rsidRPr="00485152">
        <w:rPr>
          <w:sz w:val="20"/>
          <w:szCs w:val="20"/>
        </w:rPr>
        <w:t xml:space="preserve"> </w:t>
      </w:r>
      <w:r w:rsidRPr="00485152">
        <w:rPr>
          <w:sz w:val="20"/>
          <w:szCs w:val="20"/>
          <w:lang w:val="fr-FR"/>
        </w:rPr>
        <w:t>Hypothetical, p.2, §9.</w:t>
      </w:r>
    </w:p>
  </w:footnote>
  <w:footnote w:id="4">
    <w:p w14:paraId="35F720B5" w14:textId="1688DADC"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sz w:val="20"/>
          <w:szCs w:val="20"/>
          <w:lang w:val="fr-FR"/>
        </w:rPr>
        <w:t>Hypothetical, p.6, §30.</w:t>
      </w:r>
    </w:p>
  </w:footnote>
  <w:footnote w:id="5">
    <w:p w14:paraId="4C45A292" w14:textId="092E7159"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sz w:val="20"/>
          <w:szCs w:val="20"/>
          <w:lang w:val="fr-FR"/>
        </w:rPr>
        <w:t>Hypothetical, p.7, §33.</w:t>
      </w:r>
    </w:p>
  </w:footnote>
  <w:footnote w:id="6">
    <w:p w14:paraId="3CD62A56" w14:textId="77777777"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sz w:val="20"/>
          <w:szCs w:val="20"/>
          <w:lang w:val="fr-FR"/>
        </w:rPr>
        <w:t>Hypothetical, p.7, §34.</w:t>
      </w:r>
    </w:p>
  </w:footnote>
  <w:footnote w:id="7">
    <w:p w14:paraId="591F6EF9" w14:textId="60D4DBC9"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sz w:val="20"/>
          <w:szCs w:val="20"/>
          <w:lang w:val="fr-FR"/>
        </w:rPr>
        <w:t>Hypothetical, p.7, §37.</w:t>
      </w:r>
    </w:p>
  </w:footnote>
  <w:footnote w:id="8">
    <w:p w14:paraId="0A0A4499" w14:textId="187C5D67"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p.7, §37; Hypothetical, p.8, §38.</w:t>
      </w:r>
    </w:p>
  </w:footnote>
  <w:footnote w:id="9">
    <w:p w14:paraId="1195E147" w14:textId="2435EFDE"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p.3, §11-12.</w:t>
      </w:r>
    </w:p>
  </w:footnote>
  <w:footnote w:id="10">
    <w:p w14:paraId="6CB02A83" w14:textId="5BC215E7"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p.3, §14-15.</w:t>
      </w:r>
    </w:p>
  </w:footnote>
  <w:footnote w:id="11">
    <w:p w14:paraId="79DB2C8A" w14:textId="02235404"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p.8, §37, §§41-42.</w:t>
      </w:r>
    </w:p>
  </w:footnote>
  <w:footnote w:id="12">
    <w:p w14:paraId="585B502F" w14:textId="635644F8"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sz w:val="20"/>
          <w:szCs w:val="20"/>
          <w:lang w:val="fr-FR"/>
        </w:rPr>
        <w:t>Clarification Questions, no.1.</w:t>
      </w:r>
    </w:p>
  </w:footnote>
  <w:footnote w:id="13">
    <w:p w14:paraId="471E6238" w14:textId="3F39EC5E"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p.4, §18.</w:t>
      </w:r>
    </w:p>
  </w:footnote>
  <w:footnote w:id="14">
    <w:p w14:paraId="620260D2" w14:textId="1E692D3B"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w:t>
      </w:r>
      <w:r w:rsidRPr="00485152">
        <w:rPr>
          <w:sz w:val="20"/>
          <w:szCs w:val="20"/>
          <w:lang w:val="en-US"/>
        </w:rPr>
        <w:t>p.5, §22.</w:t>
      </w:r>
    </w:p>
  </w:footnote>
  <w:footnote w:id="15">
    <w:p w14:paraId="3E29B4DE" w14:textId="3C4F067E"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sz w:val="20"/>
          <w:szCs w:val="20"/>
          <w:lang w:val="fr-FR"/>
        </w:rPr>
        <w:t>Hypothetical, p.5, §23.</w:t>
      </w:r>
    </w:p>
  </w:footnote>
  <w:footnote w:id="16">
    <w:p w14:paraId="7C84EC62" w14:textId="0FE79013"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p.5, §24.</w:t>
      </w:r>
    </w:p>
  </w:footnote>
  <w:footnote w:id="17">
    <w:p w14:paraId="228F110E" w14:textId="2EE561FF"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p.5, §25.</w:t>
      </w:r>
    </w:p>
  </w:footnote>
  <w:footnote w:id="18">
    <w:p w14:paraId="09BE8463" w14:textId="22A0D782"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p.5, §26.</w:t>
      </w:r>
    </w:p>
  </w:footnote>
  <w:footnote w:id="19">
    <w:p w14:paraId="2BBBCE3C" w14:textId="7A2A6373"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p.11, §53.</w:t>
      </w:r>
    </w:p>
  </w:footnote>
  <w:footnote w:id="20">
    <w:p w14:paraId="02D63563" w14:textId="4BC54BB3"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p.11, §54.</w:t>
      </w:r>
    </w:p>
  </w:footnote>
  <w:footnote w:id="21">
    <w:p w14:paraId="78048E34" w14:textId="2AAD737A"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p.11, §55.</w:t>
      </w:r>
    </w:p>
  </w:footnote>
  <w:footnote w:id="22">
    <w:p w14:paraId="60F1FB93" w14:textId="43BF21B7"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p.12, §58.</w:t>
      </w:r>
    </w:p>
  </w:footnote>
  <w:footnote w:id="23">
    <w:p w14:paraId="3952097D" w14:textId="0C82E9BC" w:rsidR="003A1201" w:rsidRPr="00EA796A" w:rsidRDefault="003A1201" w:rsidP="000D1F78">
      <w:pPr>
        <w:pStyle w:val="FootnoteText"/>
        <w:keepLines/>
        <w:numPr>
          <w:ilvl w:val="0"/>
          <w:numId w:val="0"/>
        </w:numPr>
        <w:contextualSpacing/>
        <w:rPr>
          <w:rFonts w:asciiTheme="majorBidi" w:hAnsiTheme="majorBidi" w:cstheme="majorBidi"/>
          <w:sz w:val="20"/>
          <w:szCs w:val="20"/>
        </w:rPr>
      </w:pPr>
      <w:r w:rsidRPr="00485152">
        <w:rPr>
          <w:rStyle w:val="FootnoteReference"/>
          <w:rFonts w:asciiTheme="majorBidi" w:hAnsiTheme="majorBidi"/>
          <w:sz w:val="20"/>
          <w:szCs w:val="20"/>
          <w:lang w:val="en-GB"/>
        </w:rPr>
        <w:footnoteRef/>
      </w:r>
      <w:r w:rsidRPr="00EA796A">
        <w:rPr>
          <w:rFonts w:asciiTheme="majorBidi" w:hAnsiTheme="majorBidi" w:cstheme="majorBidi"/>
          <w:sz w:val="20"/>
          <w:szCs w:val="20"/>
        </w:rPr>
        <w:t xml:space="preserve"> </w:t>
      </w:r>
      <w:r w:rsidRPr="00EA796A">
        <w:rPr>
          <w:rFonts w:asciiTheme="majorBidi" w:hAnsiTheme="majorBidi" w:cstheme="majorBidi"/>
          <w:i/>
          <w:sz w:val="20"/>
          <w:szCs w:val="20"/>
        </w:rPr>
        <w:t>Las Palmeras v. Colombia</w:t>
      </w:r>
      <w:r w:rsidRPr="00EA796A">
        <w:rPr>
          <w:rFonts w:asciiTheme="majorBidi" w:hAnsiTheme="majorBidi" w:cstheme="majorBidi"/>
          <w:sz w:val="20"/>
          <w:szCs w:val="20"/>
        </w:rPr>
        <w:t xml:space="preserve">, IACtHR, 4 February 2000, §33; </w:t>
      </w:r>
      <w:r w:rsidRPr="00EA796A">
        <w:rPr>
          <w:rFonts w:asciiTheme="majorBidi" w:hAnsiTheme="majorBidi" w:cstheme="majorBidi"/>
          <w:i/>
          <w:sz w:val="20"/>
          <w:szCs w:val="20"/>
        </w:rPr>
        <w:t>Bámaca Velásquez v. Guatemala</w:t>
      </w:r>
      <w:r w:rsidRPr="00EA796A">
        <w:rPr>
          <w:rFonts w:asciiTheme="majorBidi" w:hAnsiTheme="majorBidi" w:cstheme="majorBidi"/>
          <w:sz w:val="20"/>
          <w:szCs w:val="20"/>
        </w:rPr>
        <w:t xml:space="preserve">, IACtHR, 25 November 2000, §208; </w:t>
      </w:r>
      <w:r w:rsidRPr="00EA796A">
        <w:rPr>
          <w:rFonts w:asciiTheme="majorBidi" w:hAnsiTheme="majorBidi" w:cstheme="majorBidi"/>
          <w:i/>
          <w:sz w:val="20"/>
          <w:szCs w:val="20"/>
        </w:rPr>
        <w:t xml:space="preserve">The Santo Domingo Massacre v. Colombia, </w:t>
      </w:r>
      <w:r w:rsidRPr="00EA796A">
        <w:rPr>
          <w:rFonts w:asciiTheme="majorBidi" w:hAnsiTheme="majorBidi" w:cstheme="majorBidi"/>
          <w:sz w:val="20"/>
          <w:szCs w:val="20"/>
        </w:rPr>
        <w:t>IACtHR, 30 November 2012, §23.</w:t>
      </w:r>
    </w:p>
  </w:footnote>
  <w:footnote w:id="24">
    <w:p w14:paraId="1B42DFF2" w14:textId="2B56D4F9" w:rsidR="003A1201" w:rsidRPr="00EA796A" w:rsidRDefault="003A1201" w:rsidP="000D1F78">
      <w:pPr>
        <w:pStyle w:val="FootnoteText"/>
        <w:numPr>
          <w:ilvl w:val="0"/>
          <w:numId w:val="0"/>
        </w:numPr>
        <w:rPr>
          <w:rFonts w:asciiTheme="majorBidi" w:hAnsiTheme="majorBidi" w:cstheme="majorBidi"/>
          <w:i/>
          <w:sz w:val="20"/>
          <w:szCs w:val="20"/>
        </w:rPr>
      </w:pPr>
      <w:r w:rsidRPr="00485152">
        <w:rPr>
          <w:rFonts w:asciiTheme="majorBidi" w:hAnsiTheme="majorBidi" w:cstheme="majorBidi"/>
          <w:sz w:val="20"/>
          <w:szCs w:val="20"/>
          <w:vertAlign w:val="superscript"/>
          <w:lang w:val="es-ES"/>
        </w:rPr>
        <w:footnoteRef/>
      </w:r>
      <w:r w:rsidRPr="00EA796A">
        <w:rPr>
          <w:rFonts w:asciiTheme="majorBidi" w:hAnsiTheme="majorBidi" w:cstheme="majorBidi"/>
          <w:sz w:val="20"/>
          <w:szCs w:val="20"/>
          <w:vertAlign w:val="superscript"/>
        </w:rPr>
        <w:t xml:space="preserve"> </w:t>
      </w:r>
      <w:r w:rsidRPr="00EA796A">
        <w:rPr>
          <w:rFonts w:asciiTheme="majorBidi" w:hAnsiTheme="majorBidi" w:cstheme="majorBidi"/>
          <w:sz w:val="20"/>
          <w:szCs w:val="20"/>
        </w:rPr>
        <w:t>Article XIII IACFD.</w:t>
      </w:r>
    </w:p>
  </w:footnote>
  <w:footnote w:id="25">
    <w:p w14:paraId="6F961117" w14:textId="1BA4F1FB" w:rsidR="003A1201" w:rsidRPr="00EA796A" w:rsidRDefault="003A1201" w:rsidP="000D1F78">
      <w:pPr>
        <w:pStyle w:val="FootnoteText"/>
        <w:numPr>
          <w:ilvl w:val="0"/>
          <w:numId w:val="0"/>
        </w:numPr>
        <w:rPr>
          <w:rFonts w:asciiTheme="majorBidi" w:hAnsiTheme="majorBidi" w:cstheme="majorBidi"/>
          <w:sz w:val="20"/>
          <w:szCs w:val="20"/>
        </w:rPr>
      </w:pPr>
      <w:r w:rsidRPr="00485152">
        <w:rPr>
          <w:rFonts w:asciiTheme="majorBidi" w:hAnsiTheme="majorBidi" w:cstheme="majorBidi"/>
          <w:i/>
          <w:sz w:val="20"/>
          <w:szCs w:val="20"/>
          <w:vertAlign w:val="superscript"/>
          <w:lang w:val="es-ES"/>
        </w:rPr>
        <w:footnoteRef/>
      </w:r>
      <w:r w:rsidRPr="00EA796A">
        <w:rPr>
          <w:rFonts w:asciiTheme="majorBidi" w:hAnsiTheme="majorBidi" w:cstheme="majorBidi"/>
          <w:i/>
          <w:sz w:val="20"/>
          <w:szCs w:val="20"/>
        </w:rPr>
        <w:t xml:space="preserve"> Vélez Loor v. Panama, </w:t>
      </w:r>
      <w:r w:rsidRPr="00EA796A">
        <w:rPr>
          <w:rFonts w:asciiTheme="majorBidi" w:hAnsiTheme="majorBidi" w:cstheme="majorBidi"/>
          <w:sz w:val="20"/>
          <w:szCs w:val="20"/>
        </w:rPr>
        <w:t>23 November 2010, § 32-33;</w:t>
      </w:r>
      <w:r w:rsidRPr="00EA796A">
        <w:rPr>
          <w:rFonts w:asciiTheme="majorBidi" w:hAnsiTheme="majorBidi" w:cstheme="majorBidi"/>
          <w:i/>
          <w:sz w:val="20"/>
          <w:szCs w:val="20"/>
        </w:rPr>
        <w:t xml:space="preserve"> Bámaca Velásquez v. Guatemala, </w:t>
      </w:r>
      <w:r w:rsidRPr="00EA796A">
        <w:rPr>
          <w:rFonts w:asciiTheme="majorBidi" w:hAnsiTheme="majorBidi" w:cstheme="majorBidi"/>
          <w:sz w:val="20"/>
          <w:szCs w:val="20"/>
        </w:rPr>
        <w:t>IACtHR, 25 November 2000, § 223.</w:t>
      </w:r>
    </w:p>
  </w:footnote>
  <w:footnote w:id="26">
    <w:p w14:paraId="6B1A98D0" w14:textId="0DBC2046" w:rsidR="003A1201" w:rsidRPr="00EA796A" w:rsidRDefault="003A1201" w:rsidP="000D1F78">
      <w:pPr>
        <w:pStyle w:val="FootnoteText"/>
        <w:numPr>
          <w:ilvl w:val="0"/>
          <w:numId w:val="0"/>
        </w:numPr>
        <w:rPr>
          <w:sz w:val="20"/>
          <w:szCs w:val="20"/>
        </w:rPr>
      </w:pPr>
      <w:r w:rsidRPr="00485152">
        <w:rPr>
          <w:rStyle w:val="FootnoteReference"/>
          <w:sz w:val="20"/>
          <w:szCs w:val="20"/>
        </w:rPr>
        <w:footnoteRef/>
      </w:r>
      <w:r w:rsidRPr="00EA796A">
        <w:rPr>
          <w:sz w:val="20"/>
          <w:szCs w:val="20"/>
        </w:rPr>
        <w:t xml:space="preserve"> </w:t>
      </w:r>
      <w:r w:rsidRPr="00EA796A">
        <w:rPr>
          <w:i/>
          <w:sz w:val="20"/>
          <w:szCs w:val="20"/>
        </w:rPr>
        <w:t xml:space="preserve">Acevedo-Jaramillo et al. v. Peru </w:t>
      </w:r>
      <w:r w:rsidRPr="00EA796A">
        <w:rPr>
          <w:sz w:val="20"/>
          <w:szCs w:val="20"/>
        </w:rPr>
        <w:t>(Interpretation), IACtHR, 24 November 2006, §66.</w:t>
      </w:r>
    </w:p>
  </w:footnote>
  <w:footnote w:id="27">
    <w:p w14:paraId="76654E55" w14:textId="77777777" w:rsidR="003A1201" w:rsidRPr="00EA796A" w:rsidRDefault="003A1201" w:rsidP="000D1F78">
      <w:pPr>
        <w:pStyle w:val="FootnoteText"/>
        <w:numPr>
          <w:ilvl w:val="0"/>
          <w:numId w:val="0"/>
        </w:numPr>
        <w:rPr>
          <w:sz w:val="20"/>
          <w:szCs w:val="20"/>
          <w:lang w:val="es-CO"/>
        </w:rPr>
      </w:pPr>
      <w:r w:rsidRPr="00485152">
        <w:rPr>
          <w:rStyle w:val="FootnoteReference"/>
          <w:sz w:val="20"/>
          <w:szCs w:val="20"/>
        </w:rPr>
        <w:footnoteRef/>
      </w:r>
      <w:r w:rsidRPr="00485152">
        <w:rPr>
          <w:sz w:val="20"/>
          <w:szCs w:val="20"/>
          <w:lang w:val="nl-BE"/>
        </w:rPr>
        <w:t xml:space="preserve"> </w:t>
      </w:r>
      <w:r w:rsidRPr="00485152">
        <w:rPr>
          <w:i/>
          <w:iCs/>
          <w:sz w:val="20"/>
          <w:szCs w:val="20"/>
          <w:lang w:val="es-ES"/>
        </w:rPr>
        <w:t>Zambrano Velez et al. v. Ecuador</w:t>
      </w:r>
      <w:r w:rsidRPr="00485152">
        <w:rPr>
          <w:b/>
          <w:bCs/>
          <w:sz w:val="20"/>
          <w:szCs w:val="20"/>
          <w:lang w:val="es-ES"/>
        </w:rPr>
        <w:t xml:space="preserve">. </w:t>
      </w:r>
      <w:r w:rsidRPr="00485152">
        <w:rPr>
          <w:sz w:val="20"/>
          <w:szCs w:val="20"/>
          <w:lang w:val="es-ES"/>
        </w:rPr>
        <w:t>IACtHR, 4 July 2007, §47.</w:t>
      </w:r>
    </w:p>
  </w:footnote>
  <w:footnote w:id="28">
    <w:p w14:paraId="277B0CF0" w14:textId="77777777" w:rsidR="003A1201" w:rsidRPr="00EA796A" w:rsidRDefault="003A1201" w:rsidP="000D1F78">
      <w:pPr>
        <w:pStyle w:val="FootnoteText"/>
        <w:numPr>
          <w:ilvl w:val="0"/>
          <w:numId w:val="0"/>
        </w:numPr>
        <w:rPr>
          <w:sz w:val="20"/>
          <w:szCs w:val="20"/>
          <w:lang w:val="es-CO"/>
        </w:rPr>
      </w:pPr>
      <w:r w:rsidRPr="00485152">
        <w:rPr>
          <w:rStyle w:val="FootnoteReference"/>
          <w:sz w:val="20"/>
          <w:szCs w:val="20"/>
        </w:rPr>
        <w:footnoteRef/>
      </w:r>
      <w:r w:rsidRPr="00EA796A">
        <w:rPr>
          <w:sz w:val="20"/>
          <w:szCs w:val="20"/>
          <w:lang w:val="es-CO"/>
        </w:rPr>
        <w:t xml:space="preserve"> </w:t>
      </w:r>
      <w:r w:rsidRPr="00EA796A">
        <w:rPr>
          <w:i/>
          <w:sz w:val="20"/>
          <w:szCs w:val="20"/>
          <w:lang w:val="es-CO"/>
        </w:rPr>
        <w:t>Cabrera García &amp; Montiel Flores v. Mexico</w:t>
      </w:r>
      <w:r w:rsidRPr="00EA796A">
        <w:rPr>
          <w:sz w:val="20"/>
          <w:szCs w:val="20"/>
          <w:lang w:val="es-CO"/>
        </w:rPr>
        <w:t>, IACtHR, 26 November 2010, §16.</w:t>
      </w:r>
    </w:p>
  </w:footnote>
  <w:footnote w:id="29">
    <w:p w14:paraId="79E79D1C" w14:textId="6762D32E"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p.11, §56; Clarification Questions, no.12.</w:t>
      </w:r>
    </w:p>
  </w:footnote>
  <w:footnote w:id="30">
    <w:p w14:paraId="4583409F" w14:textId="77777777" w:rsidR="003A1201" w:rsidRPr="00485152" w:rsidRDefault="003A1201" w:rsidP="000D1F78">
      <w:pPr>
        <w:pStyle w:val="FootnoteText"/>
        <w:numPr>
          <w:ilvl w:val="0"/>
          <w:numId w:val="0"/>
        </w:numPr>
        <w:rPr>
          <w:sz w:val="20"/>
          <w:szCs w:val="20"/>
          <w:lang w:val="en-GB"/>
        </w:rPr>
      </w:pPr>
      <w:r w:rsidRPr="00485152">
        <w:rPr>
          <w:rStyle w:val="FootnoteReference"/>
          <w:sz w:val="20"/>
          <w:szCs w:val="20"/>
        </w:rPr>
        <w:footnoteRef/>
      </w:r>
      <w:r w:rsidRPr="00485152">
        <w:rPr>
          <w:rFonts w:asciiTheme="majorBidi" w:hAnsiTheme="majorBidi" w:cstheme="majorBidi"/>
          <w:i/>
          <w:sz w:val="20"/>
          <w:szCs w:val="20"/>
          <w:lang w:val="en-GB"/>
        </w:rPr>
        <w:t xml:space="preserve">Acevedo-Jaramillo et al. v. Peru, </w:t>
      </w:r>
      <w:r w:rsidRPr="00485152">
        <w:rPr>
          <w:rFonts w:asciiTheme="majorBidi" w:hAnsiTheme="majorBidi" w:cstheme="majorBidi"/>
          <w:sz w:val="20"/>
          <w:szCs w:val="20"/>
          <w:lang w:val="en-GB"/>
        </w:rPr>
        <w:t xml:space="preserve">IACtHR, 7 February 2006, §124; </w:t>
      </w:r>
      <w:r w:rsidRPr="00485152">
        <w:rPr>
          <w:rFonts w:asciiTheme="majorBidi" w:hAnsiTheme="majorBidi" w:cstheme="majorBidi"/>
          <w:i/>
          <w:sz w:val="20"/>
          <w:szCs w:val="20"/>
          <w:lang w:val="en-GB"/>
        </w:rPr>
        <w:t xml:space="preserve">Herrera Ulloa v. Cosa Rica, </w:t>
      </w:r>
      <w:r w:rsidRPr="00485152">
        <w:rPr>
          <w:rFonts w:asciiTheme="majorBidi" w:hAnsiTheme="majorBidi" w:cstheme="majorBidi"/>
          <w:sz w:val="20"/>
          <w:szCs w:val="20"/>
          <w:lang w:val="en-GB"/>
        </w:rPr>
        <w:t xml:space="preserve">IACtHR, 2 July 2004, §81; </w:t>
      </w:r>
      <w:r w:rsidRPr="00485152">
        <w:rPr>
          <w:rFonts w:asciiTheme="majorBidi" w:hAnsiTheme="majorBidi" w:cstheme="majorBidi"/>
          <w:i/>
          <w:iCs/>
          <w:sz w:val="20"/>
          <w:szCs w:val="20"/>
          <w:lang w:val="en-GB"/>
        </w:rPr>
        <w:t>Díaz Peña v. Venezuela</w:t>
      </w:r>
      <w:r w:rsidRPr="00485152">
        <w:rPr>
          <w:rFonts w:asciiTheme="majorBidi" w:hAnsiTheme="majorBidi" w:cstheme="majorBidi"/>
          <w:sz w:val="20"/>
          <w:szCs w:val="20"/>
          <w:lang w:val="en-GB"/>
        </w:rPr>
        <w:t>, IACtHR, 26 June 2012, §114.</w:t>
      </w:r>
    </w:p>
  </w:footnote>
  <w:footnote w:id="31">
    <w:p w14:paraId="2097DF78" w14:textId="5BC7D474" w:rsidR="003A1201" w:rsidRPr="00EA796A" w:rsidRDefault="003A1201" w:rsidP="000D1F78">
      <w:pPr>
        <w:pStyle w:val="FootnoteText"/>
        <w:numPr>
          <w:ilvl w:val="0"/>
          <w:numId w:val="0"/>
        </w:numPr>
        <w:rPr>
          <w:sz w:val="20"/>
          <w:szCs w:val="20"/>
          <w:lang w:val="pt-BR"/>
        </w:rPr>
      </w:pPr>
      <w:r w:rsidRPr="00485152">
        <w:rPr>
          <w:rStyle w:val="FootnoteReference"/>
          <w:sz w:val="20"/>
          <w:szCs w:val="20"/>
        </w:rPr>
        <w:footnoteRef/>
      </w:r>
      <w:r w:rsidRPr="00EA796A">
        <w:rPr>
          <w:sz w:val="20"/>
          <w:szCs w:val="20"/>
          <w:lang w:val="pt-BR"/>
        </w:rPr>
        <w:t xml:space="preserve"> </w:t>
      </w:r>
      <w:r w:rsidRPr="00EA796A">
        <w:rPr>
          <w:i/>
          <w:iCs/>
          <w:sz w:val="20"/>
          <w:szCs w:val="20"/>
          <w:lang w:val="pt-BR"/>
        </w:rPr>
        <w:t>Velásquez Rodriguez v. Honduras</w:t>
      </w:r>
      <w:r w:rsidRPr="00EA796A">
        <w:rPr>
          <w:sz w:val="20"/>
          <w:szCs w:val="20"/>
          <w:lang w:val="pt-BR"/>
        </w:rPr>
        <w:t xml:space="preserve">, IACtHR, 29 July 1988, §61; </w:t>
      </w:r>
      <w:r w:rsidRPr="00EA796A">
        <w:rPr>
          <w:i/>
          <w:iCs/>
          <w:sz w:val="20"/>
          <w:szCs w:val="20"/>
          <w:lang w:val="pt-BR"/>
        </w:rPr>
        <w:t>The Santo Domingo Massacre v. Colombia</w:t>
      </w:r>
      <w:r w:rsidRPr="00EA796A">
        <w:rPr>
          <w:sz w:val="20"/>
          <w:szCs w:val="20"/>
          <w:lang w:val="pt-BR"/>
        </w:rPr>
        <w:t xml:space="preserve">, IACtHR, 30 November 2012, §33; </w:t>
      </w:r>
      <w:r w:rsidRPr="00EA796A">
        <w:rPr>
          <w:i/>
          <w:iCs/>
          <w:sz w:val="20"/>
          <w:szCs w:val="20"/>
          <w:lang w:val="pt-BR"/>
        </w:rPr>
        <w:t>Liakat Ali Alibux v. Suriname</w:t>
      </w:r>
      <w:r w:rsidRPr="00EA796A">
        <w:rPr>
          <w:sz w:val="20"/>
          <w:szCs w:val="20"/>
          <w:lang w:val="pt-BR"/>
        </w:rPr>
        <w:t>, IACtHR, 30 January 2014, §15.</w:t>
      </w:r>
    </w:p>
  </w:footnote>
  <w:footnote w:id="32">
    <w:p w14:paraId="7D64BC8E"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p.11-12, §57.</w:t>
      </w:r>
    </w:p>
  </w:footnote>
  <w:footnote w:id="33">
    <w:p w14:paraId="1CA29C1C"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p.11, §54.</w:t>
      </w:r>
    </w:p>
  </w:footnote>
  <w:footnote w:id="34">
    <w:p w14:paraId="254B8FDA"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p.10, §51.</w:t>
      </w:r>
    </w:p>
  </w:footnote>
  <w:footnote w:id="35">
    <w:p w14:paraId="5EDA6214" w14:textId="77777777" w:rsidR="003A1201" w:rsidRPr="00485152" w:rsidRDefault="003A1201" w:rsidP="000D1F78">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w:t>
      </w:r>
      <w:r w:rsidRPr="00485152">
        <w:rPr>
          <w:i/>
          <w:iCs/>
          <w:sz w:val="20"/>
          <w:szCs w:val="20"/>
          <w:lang w:val="en-GB"/>
        </w:rPr>
        <w:t>Velásquez Rodriguez v. Honduras</w:t>
      </w:r>
      <w:r w:rsidRPr="00485152">
        <w:rPr>
          <w:sz w:val="20"/>
          <w:szCs w:val="20"/>
          <w:lang w:val="en-GB"/>
        </w:rPr>
        <w:t xml:space="preserve">, IACtHR, 29 July 1988, §66; </w:t>
      </w:r>
      <w:r w:rsidRPr="00485152">
        <w:rPr>
          <w:i/>
          <w:iCs/>
          <w:sz w:val="20"/>
          <w:szCs w:val="20"/>
          <w:lang w:val="en-GB"/>
        </w:rPr>
        <w:t>Godínez Cruz v. Honduras</w:t>
      </w:r>
      <w:r w:rsidRPr="00485152">
        <w:rPr>
          <w:sz w:val="20"/>
          <w:szCs w:val="20"/>
          <w:lang w:val="en-GB"/>
        </w:rPr>
        <w:t xml:space="preserve">, IACtHR, 20 January 1989, §67;  </w:t>
      </w:r>
      <w:r w:rsidRPr="00485152">
        <w:rPr>
          <w:i/>
          <w:iCs/>
          <w:sz w:val="20"/>
          <w:szCs w:val="20"/>
          <w:lang w:val="en-GB"/>
        </w:rPr>
        <w:t>Fairén-Garbi and Solís-Corrales v. Honduras</w:t>
      </w:r>
      <w:r w:rsidRPr="00485152">
        <w:rPr>
          <w:sz w:val="20"/>
          <w:szCs w:val="20"/>
          <w:lang w:val="en-GB"/>
        </w:rPr>
        <w:t>, IACtHR, 15 March 1989, §§88 and 91.</w:t>
      </w:r>
    </w:p>
  </w:footnote>
  <w:footnote w:id="36">
    <w:p w14:paraId="7AF188D5" w14:textId="29BB1042"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Clarification Questions, no. 6.</w:t>
      </w:r>
    </w:p>
  </w:footnote>
  <w:footnote w:id="37">
    <w:p w14:paraId="1F1B3EFA" w14:textId="77777777" w:rsidR="003A1201" w:rsidRPr="00EA796A" w:rsidRDefault="003A1201" w:rsidP="000D1F78">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cstheme="majorBidi"/>
          <w:sz w:val="20"/>
          <w:szCs w:val="20"/>
        </w:rPr>
        <w:footnoteRef/>
      </w:r>
      <w:r w:rsidRPr="00EA796A">
        <w:rPr>
          <w:rFonts w:asciiTheme="majorBidi" w:hAnsiTheme="majorBidi" w:cstheme="majorBidi"/>
          <w:sz w:val="20"/>
          <w:szCs w:val="20"/>
          <w:lang w:val="en-GB"/>
        </w:rPr>
        <w:t xml:space="preserve"> </w:t>
      </w:r>
      <w:r w:rsidRPr="00EA796A">
        <w:rPr>
          <w:rFonts w:asciiTheme="majorBidi" w:hAnsiTheme="majorBidi" w:cstheme="majorBidi"/>
          <w:i/>
          <w:iCs/>
          <w:sz w:val="20"/>
          <w:szCs w:val="20"/>
          <w:lang w:val="en-GB"/>
        </w:rPr>
        <w:t xml:space="preserve">Almonacid-Arellano et al. v. Chile, </w:t>
      </w:r>
      <w:r w:rsidRPr="00EA796A">
        <w:rPr>
          <w:rFonts w:asciiTheme="majorBidi" w:hAnsiTheme="majorBidi" w:cstheme="majorBidi"/>
          <w:sz w:val="20"/>
          <w:szCs w:val="20"/>
          <w:lang w:val="en-GB"/>
        </w:rPr>
        <w:t>IACtHR, 26 September 2006, §124.</w:t>
      </w:r>
    </w:p>
  </w:footnote>
  <w:footnote w:id="38">
    <w:p w14:paraId="734BD05D" w14:textId="15B52C3A" w:rsidR="003A1201" w:rsidRPr="00EA796A" w:rsidRDefault="003A1201" w:rsidP="000D1F78">
      <w:pPr>
        <w:pStyle w:val="FootnoteText"/>
        <w:numPr>
          <w:ilvl w:val="0"/>
          <w:numId w:val="0"/>
        </w:numPr>
        <w:rPr>
          <w:sz w:val="20"/>
          <w:szCs w:val="20"/>
          <w:lang w:val="en-GB"/>
        </w:rPr>
      </w:pPr>
      <w:r w:rsidRPr="00485152">
        <w:rPr>
          <w:rStyle w:val="FootnoteReference"/>
          <w:sz w:val="20"/>
          <w:szCs w:val="20"/>
        </w:rPr>
        <w:footnoteRef/>
      </w:r>
      <w:r w:rsidRPr="00EA796A">
        <w:rPr>
          <w:sz w:val="20"/>
          <w:szCs w:val="20"/>
          <w:lang w:val="en-GB"/>
        </w:rPr>
        <w:t xml:space="preserve"> </w:t>
      </w:r>
      <w:r w:rsidRPr="00EA796A">
        <w:rPr>
          <w:rFonts w:asciiTheme="majorBidi" w:hAnsiTheme="majorBidi" w:cstheme="majorBidi"/>
          <w:i/>
          <w:iCs/>
          <w:sz w:val="20"/>
          <w:szCs w:val="20"/>
          <w:lang w:val="en-GB"/>
        </w:rPr>
        <w:t>Santander Tristán Donos  v. Panama,</w:t>
      </w:r>
      <w:r w:rsidRPr="00EA796A">
        <w:rPr>
          <w:rFonts w:asciiTheme="majorBidi" w:hAnsiTheme="majorBidi" w:cstheme="majorBidi"/>
          <w:sz w:val="20"/>
          <w:szCs w:val="20"/>
          <w:lang w:val="en-GB"/>
        </w:rPr>
        <w:t xml:space="preserve"> IACHR, Report No. 71/02, 24 October 2002, §22.</w:t>
      </w:r>
    </w:p>
  </w:footnote>
  <w:footnote w:id="39">
    <w:p w14:paraId="3E856DEE"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i/>
          <w:iCs/>
          <w:sz w:val="20"/>
          <w:szCs w:val="20"/>
          <w:lang w:val="en-US"/>
        </w:rPr>
        <w:t xml:space="preserve">Gelman v. Uruguay, </w:t>
      </w:r>
      <w:r w:rsidRPr="00485152">
        <w:rPr>
          <w:rFonts w:asciiTheme="majorBidi" w:hAnsiTheme="majorBidi" w:cstheme="majorBidi"/>
          <w:sz w:val="20"/>
          <w:szCs w:val="20"/>
          <w:lang w:val="en-US"/>
        </w:rPr>
        <w:t>IACtHR, 24 February 2011, §§218, 221 and 222.</w:t>
      </w:r>
    </w:p>
  </w:footnote>
  <w:footnote w:id="40">
    <w:p w14:paraId="1FD71DE7"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Art. 7(6) ACHR.</w:t>
      </w:r>
    </w:p>
  </w:footnote>
  <w:footnote w:id="41">
    <w:p w14:paraId="1AA2E39D" w14:textId="0A9E4845" w:rsidR="003A1201" w:rsidRPr="00485152" w:rsidRDefault="003A1201" w:rsidP="000D1F78">
      <w:pPr>
        <w:pStyle w:val="FootnoteText"/>
        <w:numPr>
          <w:ilvl w:val="0"/>
          <w:numId w:val="0"/>
        </w:numPr>
        <w:rPr>
          <w:rStyle w:val="FootnoteReference"/>
          <w:sz w:val="20"/>
          <w:szCs w:val="20"/>
          <w:lang w:val="en-GB"/>
        </w:rPr>
      </w:pPr>
      <w:r w:rsidRPr="00485152">
        <w:rPr>
          <w:rStyle w:val="FootnoteReference"/>
          <w:sz w:val="20"/>
          <w:szCs w:val="20"/>
        </w:rPr>
        <w:footnoteRef/>
      </w:r>
      <w:r w:rsidRPr="00485152">
        <w:rPr>
          <w:rStyle w:val="FootnoteReference"/>
          <w:sz w:val="20"/>
          <w:szCs w:val="20"/>
          <w:lang w:val="en-GB"/>
        </w:rPr>
        <w:t xml:space="preserve"> </w:t>
      </w:r>
      <w:r w:rsidRPr="00485152">
        <w:rPr>
          <w:rStyle w:val="FootnoteReference"/>
          <w:i/>
          <w:sz w:val="20"/>
          <w:szCs w:val="20"/>
          <w:vertAlign w:val="baseline"/>
          <w:lang w:val="en-GB"/>
        </w:rPr>
        <w:t>Velásquez Rodríguez v. Honduras</w:t>
      </w:r>
      <w:r w:rsidRPr="00485152">
        <w:rPr>
          <w:rStyle w:val="FootnoteReference"/>
          <w:sz w:val="20"/>
          <w:szCs w:val="20"/>
          <w:vertAlign w:val="baseline"/>
          <w:lang w:val="en-GB"/>
        </w:rPr>
        <w:t xml:space="preserve">, </w:t>
      </w:r>
      <w:r w:rsidRPr="00485152">
        <w:rPr>
          <w:sz w:val="20"/>
          <w:szCs w:val="20"/>
          <w:lang w:val="en-GB"/>
        </w:rPr>
        <w:t xml:space="preserve">IACtHR, 29 July </w:t>
      </w:r>
      <w:r w:rsidRPr="00485152">
        <w:rPr>
          <w:rStyle w:val="FootnoteReference"/>
          <w:sz w:val="20"/>
          <w:szCs w:val="20"/>
          <w:vertAlign w:val="baseline"/>
          <w:lang w:val="en-GB"/>
        </w:rPr>
        <w:t>1988, §65.</w:t>
      </w:r>
    </w:p>
  </w:footnote>
  <w:footnote w:id="42">
    <w:p w14:paraId="7602B674" w14:textId="1488179B" w:rsidR="003A1201" w:rsidRPr="00485152" w:rsidRDefault="003A1201" w:rsidP="000D1F78">
      <w:pPr>
        <w:pStyle w:val="FootnoteText"/>
        <w:numPr>
          <w:ilvl w:val="0"/>
          <w:numId w:val="0"/>
        </w:numPr>
        <w:rPr>
          <w:rFonts w:asciiTheme="majorBidi" w:hAnsiTheme="majorBidi" w:cstheme="majorBidi"/>
          <w:sz w:val="20"/>
          <w:szCs w:val="20"/>
          <w:lang w:val="en-GB"/>
        </w:rPr>
      </w:pPr>
      <w:r w:rsidRPr="00485152">
        <w:rPr>
          <w:rStyle w:val="FootnoteReference"/>
          <w:sz w:val="20"/>
          <w:szCs w:val="20"/>
        </w:rPr>
        <w:footnoteRef/>
      </w:r>
      <w:r w:rsidRPr="00485152">
        <w:rPr>
          <w:rFonts w:asciiTheme="majorBidi" w:hAnsiTheme="majorBidi" w:cstheme="majorBidi"/>
          <w:i/>
          <w:iCs/>
          <w:sz w:val="20"/>
          <w:szCs w:val="20"/>
          <w:lang w:val="en-US"/>
        </w:rPr>
        <w:t xml:space="preserve"> Chitay Nech et al. v. Guatemala, </w:t>
      </w:r>
      <w:r w:rsidRPr="00485152">
        <w:rPr>
          <w:rFonts w:asciiTheme="majorBidi" w:hAnsiTheme="majorBidi" w:cstheme="majorBidi"/>
          <w:iCs/>
          <w:sz w:val="20"/>
          <w:szCs w:val="20"/>
          <w:lang w:val="en-US"/>
        </w:rPr>
        <w:t>IACtHR, 25 May 2010, §203</w:t>
      </w:r>
      <w:r w:rsidRPr="00485152">
        <w:rPr>
          <w:rFonts w:asciiTheme="majorBidi" w:hAnsiTheme="majorBidi" w:cstheme="majorBidi"/>
          <w:sz w:val="20"/>
          <w:szCs w:val="20"/>
          <w:lang w:val="en-GB"/>
        </w:rPr>
        <w:t>;</w:t>
      </w:r>
      <w:r w:rsidRPr="00485152">
        <w:rPr>
          <w:rFonts w:asciiTheme="majorBidi" w:hAnsiTheme="majorBidi" w:cstheme="majorBidi"/>
          <w:i/>
          <w:sz w:val="20"/>
          <w:szCs w:val="20"/>
          <w:lang w:val="en-GB"/>
        </w:rPr>
        <w:t xml:space="preserve"> Bámaca Velásquez v. Guatemala, </w:t>
      </w:r>
      <w:r w:rsidRPr="00485152">
        <w:rPr>
          <w:rFonts w:asciiTheme="majorBidi" w:hAnsiTheme="majorBidi" w:cstheme="majorBidi"/>
          <w:sz w:val="20"/>
          <w:szCs w:val="20"/>
          <w:lang w:val="en-GB"/>
        </w:rPr>
        <w:t>IACtHR, 25 November 2000, § 192.</w:t>
      </w:r>
    </w:p>
  </w:footnote>
  <w:footnote w:id="43">
    <w:p w14:paraId="72F7C1D7" w14:textId="4637011C" w:rsidR="003A1201" w:rsidRPr="00485152" w:rsidRDefault="003A1201" w:rsidP="000D1F78">
      <w:pPr>
        <w:pStyle w:val="FootnoteText"/>
        <w:numPr>
          <w:ilvl w:val="0"/>
          <w:numId w:val="0"/>
        </w:numPr>
        <w:rPr>
          <w:sz w:val="20"/>
          <w:szCs w:val="20"/>
          <w:lang w:val="en-GB"/>
        </w:rPr>
      </w:pPr>
      <w:r w:rsidRPr="00485152">
        <w:rPr>
          <w:rStyle w:val="FootnoteReference"/>
          <w:rFonts w:asciiTheme="majorBidi" w:hAnsiTheme="majorBidi" w:cstheme="majorBidi"/>
          <w:sz w:val="20"/>
          <w:szCs w:val="20"/>
          <w:lang w:val="en-GB"/>
        </w:rPr>
        <w:footnoteRef/>
      </w:r>
      <w:r w:rsidRPr="00485152">
        <w:rPr>
          <w:rFonts w:asciiTheme="majorBidi" w:hAnsiTheme="majorBidi" w:cstheme="majorBidi"/>
          <w:sz w:val="20"/>
          <w:szCs w:val="20"/>
          <w:lang w:val="en-GB"/>
        </w:rPr>
        <w:t xml:space="preserve"> Hypothetical, p.9, §47; p.10, §§51 and 53.</w:t>
      </w:r>
    </w:p>
  </w:footnote>
  <w:footnote w:id="44">
    <w:p w14:paraId="25D43FBB" w14:textId="4732596D"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p.10, §51.</w:t>
      </w:r>
    </w:p>
  </w:footnote>
  <w:footnote w:id="45">
    <w:p w14:paraId="5A9DAEB1"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Ibid.</w:t>
      </w:r>
    </w:p>
  </w:footnote>
  <w:footnote w:id="46">
    <w:p w14:paraId="6E439A42" w14:textId="719D84A9"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p.9, §47.</w:t>
      </w:r>
    </w:p>
  </w:footnote>
  <w:footnote w:id="47">
    <w:p w14:paraId="3281CDA3" w14:textId="3F911B0D" w:rsidR="003A1201" w:rsidRPr="00485152" w:rsidRDefault="003A1201" w:rsidP="000D1F78">
      <w:pPr>
        <w:pStyle w:val="FootnoteText"/>
        <w:numPr>
          <w:ilvl w:val="0"/>
          <w:numId w:val="0"/>
        </w:numPr>
        <w:rPr>
          <w:sz w:val="20"/>
          <w:szCs w:val="20"/>
          <w:lang w:val="es-ES"/>
        </w:rPr>
      </w:pPr>
      <w:r w:rsidRPr="00485152">
        <w:rPr>
          <w:rStyle w:val="FootnoteReference"/>
          <w:sz w:val="20"/>
          <w:szCs w:val="20"/>
        </w:rPr>
        <w:footnoteRef/>
      </w:r>
      <w:r w:rsidRPr="00485152">
        <w:rPr>
          <w:sz w:val="20"/>
          <w:szCs w:val="20"/>
          <w:lang w:val="es-ES"/>
        </w:rPr>
        <w:t xml:space="preserve"> </w:t>
      </w:r>
      <w:r w:rsidRPr="00485152">
        <w:rPr>
          <w:i/>
          <w:iCs/>
          <w:sz w:val="20"/>
          <w:szCs w:val="20"/>
          <w:lang w:val="es-ES"/>
        </w:rPr>
        <w:t>Zambrano Velez et al. v. Ecuador</w:t>
      </w:r>
      <w:r w:rsidRPr="00485152">
        <w:rPr>
          <w:b/>
          <w:bCs/>
          <w:sz w:val="20"/>
          <w:szCs w:val="20"/>
          <w:lang w:val="es-ES"/>
        </w:rPr>
        <w:t xml:space="preserve">, </w:t>
      </w:r>
      <w:r w:rsidRPr="00485152">
        <w:rPr>
          <w:sz w:val="20"/>
          <w:szCs w:val="20"/>
          <w:lang w:val="es-ES"/>
        </w:rPr>
        <w:t>IACtHR, 4 July 2007, §47;</w:t>
      </w:r>
      <w:r w:rsidRPr="00485152">
        <w:rPr>
          <w:i/>
          <w:iCs/>
          <w:sz w:val="20"/>
          <w:szCs w:val="20"/>
          <w:lang w:val="es-ES"/>
        </w:rPr>
        <w:t xml:space="preserve"> Velásquez Rodriguez v. Honduras, </w:t>
      </w:r>
      <w:r w:rsidRPr="00485152">
        <w:rPr>
          <w:sz w:val="20"/>
          <w:szCs w:val="20"/>
          <w:lang w:val="es-ES"/>
        </w:rPr>
        <w:t xml:space="preserve">IACtHR, 29 July 1988, §61; </w:t>
      </w:r>
      <w:r w:rsidRPr="00EA796A">
        <w:rPr>
          <w:i/>
          <w:sz w:val="20"/>
          <w:szCs w:val="20"/>
          <w:lang w:val="es-CO"/>
        </w:rPr>
        <w:t xml:space="preserve">Acevedo-Jaramillo et al. v. Peru </w:t>
      </w:r>
      <w:r w:rsidRPr="00EA796A">
        <w:rPr>
          <w:sz w:val="20"/>
          <w:szCs w:val="20"/>
          <w:lang w:val="es-CO"/>
        </w:rPr>
        <w:t>(Interpretation), IACtHR, 24 November 2006,  §66.</w:t>
      </w:r>
    </w:p>
  </w:footnote>
  <w:footnote w:id="48">
    <w:p w14:paraId="41489739" w14:textId="2689F2A3" w:rsidR="003A1201" w:rsidRPr="00485152" w:rsidRDefault="003A1201" w:rsidP="000D1F78">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US"/>
        </w:rPr>
        <w:t xml:space="preserve"> </w:t>
      </w:r>
      <w:r w:rsidRPr="00485152">
        <w:rPr>
          <w:i/>
          <w:sz w:val="20"/>
          <w:szCs w:val="20"/>
          <w:lang w:val="en-US"/>
        </w:rPr>
        <w:t xml:space="preserve">Mémoli v. Argentina, </w:t>
      </w:r>
      <w:r w:rsidRPr="00485152">
        <w:rPr>
          <w:sz w:val="20"/>
          <w:szCs w:val="20"/>
          <w:lang w:val="en-US"/>
        </w:rPr>
        <w:t xml:space="preserve">IACtHR, 22 August 2013, §26; Advisory opinion OC-19/05, IACtHR, 28 November 2005, §27; </w:t>
      </w:r>
      <w:r w:rsidRPr="00485152">
        <w:rPr>
          <w:i/>
          <w:iCs/>
          <w:sz w:val="20"/>
          <w:szCs w:val="20"/>
          <w:lang w:val="en-GB"/>
        </w:rPr>
        <w:t xml:space="preserve">Cayara v. Peru, </w:t>
      </w:r>
      <w:r w:rsidRPr="00485152">
        <w:rPr>
          <w:sz w:val="20"/>
          <w:szCs w:val="20"/>
          <w:lang w:val="en-GB"/>
        </w:rPr>
        <w:t xml:space="preserve">IACtHR, 3 February 1993, §63; </w:t>
      </w:r>
      <w:r w:rsidRPr="00485152">
        <w:rPr>
          <w:i/>
          <w:iCs/>
          <w:sz w:val="20"/>
          <w:szCs w:val="20"/>
          <w:lang w:val="en-GB"/>
        </w:rPr>
        <w:t xml:space="preserve">González Medina and family v. Dominican Republic, </w:t>
      </w:r>
      <w:r w:rsidRPr="00485152">
        <w:rPr>
          <w:sz w:val="20"/>
          <w:szCs w:val="20"/>
          <w:lang w:val="en-GB"/>
        </w:rPr>
        <w:t xml:space="preserve">IACtHR, 27 February 2012, §28. </w:t>
      </w:r>
    </w:p>
  </w:footnote>
  <w:footnote w:id="49">
    <w:p w14:paraId="18DE428C" w14:textId="4516E52E"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w:t>
      </w:r>
      <w:r w:rsidRPr="00485152">
        <w:rPr>
          <w:i/>
          <w:iCs/>
          <w:sz w:val="20"/>
          <w:szCs w:val="20"/>
          <w:lang w:val="en-US"/>
        </w:rPr>
        <w:t xml:space="preserve">Furlan and Family v. Argentina, </w:t>
      </w:r>
      <w:r w:rsidRPr="00485152">
        <w:rPr>
          <w:sz w:val="20"/>
          <w:szCs w:val="20"/>
          <w:lang w:val="en-US"/>
        </w:rPr>
        <w:t>IACtHR, 31 August 2012, §49; Advisory Opinion OC-19/05, IACtHR, §27.</w:t>
      </w:r>
    </w:p>
  </w:footnote>
  <w:footnote w:id="50">
    <w:p w14:paraId="21ABAA5C" w14:textId="0DAFAB4B" w:rsidR="003A1201" w:rsidRPr="00485152" w:rsidRDefault="003A1201" w:rsidP="000D1F78">
      <w:pPr>
        <w:pStyle w:val="FootnoteText"/>
        <w:numPr>
          <w:ilvl w:val="0"/>
          <w:numId w:val="0"/>
        </w:numPr>
        <w:rPr>
          <w:sz w:val="20"/>
          <w:szCs w:val="20"/>
          <w:lang w:val="en-US"/>
        </w:rPr>
      </w:pPr>
      <w:r w:rsidRPr="00485152">
        <w:rPr>
          <w:rStyle w:val="FootnoteReference"/>
          <w:rFonts w:asciiTheme="majorBidi" w:hAnsiTheme="majorBidi" w:cstheme="majorBidi"/>
          <w:sz w:val="20"/>
          <w:szCs w:val="20"/>
        </w:rPr>
        <w:footnoteRef/>
      </w:r>
      <w:r w:rsidRPr="00485152">
        <w:rPr>
          <w:sz w:val="20"/>
          <w:szCs w:val="20"/>
          <w:lang w:val="en-US"/>
        </w:rPr>
        <w:t xml:space="preserve"> Clarification Questions, no. 62.</w:t>
      </w:r>
    </w:p>
  </w:footnote>
  <w:footnote w:id="51">
    <w:p w14:paraId="51B3596C"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w:t>
      </w:r>
      <w:r w:rsidRPr="00485152">
        <w:rPr>
          <w:rFonts w:asciiTheme="majorBidi" w:hAnsiTheme="majorBidi" w:cstheme="majorBidi"/>
          <w:sz w:val="20"/>
          <w:szCs w:val="20"/>
          <w:lang w:val="en-GB"/>
        </w:rPr>
        <w:t>Art. 31(1) of the Rules of Procedure of the Commission.</w:t>
      </w:r>
    </w:p>
  </w:footnote>
  <w:footnote w:id="52">
    <w:p w14:paraId="687A6171" w14:textId="77777777" w:rsidR="003A1201" w:rsidRPr="00485152" w:rsidRDefault="003A1201" w:rsidP="000D1F78">
      <w:pPr>
        <w:pStyle w:val="FootnoteText"/>
        <w:numPr>
          <w:ilvl w:val="0"/>
          <w:numId w:val="0"/>
        </w:numPr>
        <w:rPr>
          <w:sz w:val="20"/>
          <w:szCs w:val="20"/>
          <w:lang w:val="es-ES"/>
        </w:rPr>
      </w:pPr>
      <w:r w:rsidRPr="00485152">
        <w:rPr>
          <w:rStyle w:val="FootnoteReference"/>
          <w:sz w:val="20"/>
          <w:szCs w:val="20"/>
        </w:rPr>
        <w:footnoteRef/>
      </w:r>
      <w:r w:rsidRPr="00485152">
        <w:rPr>
          <w:sz w:val="20"/>
          <w:szCs w:val="20"/>
          <w:lang w:val="es-ES"/>
        </w:rPr>
        <w:t xml:space="preserve"> </w:t>
      </w:r>
      <w:r w:rsidRPr="00485152">
        <w:rPr>
          <w:rFonts w:asciiTheme="majorBidi" w:hAnsiTheme="majorBidi" w:cstheme="majorBidi"/>
          <w:i/>
          <w:iCs/>
          <w:sz w:val="20"/>
          <w:szCs w:val="20"/>
          <w:lang w:val="es-ES"/>
        </w:rPr>
        <w:t>Díaz Peña v. Venezuela</w:t>
      </w:r>
      <w:r w:rsidRPr="00485152">
        <w:rPr>
          <w:rFonts w:asciiTheme="majorBidi" w:hAnsiTheme="majorBidi" w:cstheme="majorBidi"/>
          <w:sz w:val="20"/>
          <w:szCs w:val="20"/>
          <w:lang w:val="es-ES"/>
        </w:rPr>
        <w:t>, IACtHR, 26 June 2012, §123.</w:t>
      </w:r>
    </w:p>
  </w:footnote>
  <w:footnote w:id="53">
    <w:p w14:paraId="39F92AC1" w14:textId="77777777" w:rsidR="003A1201" w:rsidRPr="00485152" w:rsidRDefault="003A1201" w:rsidP="000D1F78">
      <w:pPr>
        <w:pStyle w:val="FootnoteText"/>
        <w:numPr>
          <w:ilvl w:val="0"/>
          <w:numId w:val="0"/>
        </w:numPr>
        <w:rPr>
          <w:sz w:val="20"/>
          <w:szCs w:val="20"/>
          <w:lang w:val="es-ES"/>
        </w:rPr>
      </w:pPr>
      <w:r w:rsidRPr="00485152">
        <w:rPr>
          <w:rStyle w:val="FootnoteReference"/>
          <w:sz w:val="20"/>
          <w:szCs w:val="20"/>
        </w:rPr>
        <w:footnoteRef/>
      </w:r>
      <w:r w:rsidRPr="00485152">
        <w:rPr>
          <w:sz w:val="20"/>
          <w:szCs w:val="20"/>
          <w:lang w:val="es-ES"/>
        </w:rPr>
        <w:t xml:space="preserve"> </w:t>
      </w:r>
      <w:r w:rsidRPr="00485152">
        <w:rPr>
          <w:rFonts w:asciiTheme="majorBidi" w:hAnsiTheme="majorBidi" w:cstheme="majorBidi"/>
          <w:i/>
          <w:iCs/>
          <w:sz w:val="20"/>
          <w:szCs w:val="20"/>
          <w:lang w:val="es-ES"/>
        </w:rPr>
        <w:t>Díaz Peña v. Venezuela</w:t>
      </w:r>
      <w:r w:rsidRPr="00485152">
        <w:rPr>
          <w:rFonts w:asciiTheme="majorBidi" w:hAnsiTheme="majorBidi" w:cstheme="majorBidi"/>
          <w:sz w:val="20"/>
          <w:szCs w:val="20"/>
          <w:lang w:val="es-ES"/>
        </w:rPr>
        <w:t>, IACtHR, 26 June 2012</w:t>
      </w:r>
      <w:r w:rsidRPr="00485152">
        <w:rPr>
          <w:sz w:val="20"/>
          <w:szCs w:val="20"/>
          <w:lang w:val="es-ES"/>
        </w:rPr>
        <w:t>, §114</w:t>
      </w:r>
    </w:p>
  </w:footnote>
  <w:footnote w:id="54">
    <w:p w14:paraId="26EA0DE0" w14:textId="77777777" w:rsidR="003A1201" w:rsidRPr="00485152" w:rsidRDefault="003A1201" w:rsidP="000D1F78">
      <w:pPr>
        <w:numPr>
          <w:ilvl w:val="0"/>
          <w:numId w:val="0"/>
        </w:numPr>
        <w:spacing w:after="0" w:line="240" w:lineRule="auto"/>
        <w:rPr>
          <w:rFonts w:asciiTheme="majorBidi" w:hAnsiTheme="majorBidi" w:cstheme="majorBidi"/>
          <w:sz w:val="20"/>
          <w:szCs w:val="20"/>
          <w:lang w:val="es-ES"/>
        </w:rPr>
      </w:pPr>
      <w:r w:rsidRPr="00485152">
        <w:rPr>
          <w:rStyle w:val="FootnoteReference"/>
          <w:rFonts w:asciiTheme="majorBidi" w:hAnsiTheme="majorBidi" w:cstheme="majorBidi"/>
          <w:sz w:val="20"/>
          <w:szCs w:val="20"/>
          <w:lang w:val="en-GB"/>
        </w:rPr>
        <w:footnoteRef/>
      </w:r>
      <w:r w:rsidRPr="00485152">
        <w:rPr>
          <w:rFonts w:asciiTheme="majorBidi" w:hAnsiTheme="majorBidi" w:cstheme="majorBidi"/>
          <w:sz w:val="20"/>
          <w:szCs w:val="20"/>
          <w:lang w:val="es-ES"/>
        </w:rPr>
        <w:t xml:space="preserve"> </w:t>
      </w:r>
      <w:r w:rsidRPr="00485152">
        <w:rPr>
          <w:rFonts w:asciiTheme="majorBidi" w:hAnsiTheme="majorBidi" w:cstheme="majorBidi"/>
          <w:i/>
          <w:iCs/>
          <w:sz w:val="20"/>
          <w:szCs w:val="20"/>
          <w:lang w:val="es-ES"/>
        </w:rPr>
        <w:t>Grande v. Argentina</w:t>
      </w:r>
      <w:r w:rsidRPr="00485152">
        <w:rPr>
          <w:rFonts w:asciiTheme="majorBidi" w:hAnsiTheme="majorBidi" w:cstheme="majorBidi"/>
          <w:sz w:val="20"/>
          <w:szCs w:val="20"/>
          <w:lang w:val="es-ES"/>
        </w:rPr>
        <w:t xml:space="preserve">, IACtHR, 31 August 2011, §45; </w:t>
      </w:r>
      <w:r w:rsidRPr="00485152">
        <w:rPr>
          <w:rFonts w:asciiTheme="majorBidi" w:hAnsiTheme="majorBidi" w:cstheme="majorBidi"/>
          <w:i/>
          <w:iCs/>
          <w:sz w:val="20"/>
          <w:szCs w:val="20"/>
          <w:lang w:val="es-ES"/>
        </w:rPr>
        <w:t xml:space="preserve">the Dismissed Congressional Employees (Aguado Alfaro et al.) </w:t>
      </w:r>
      <w:r w:rsidRPr="00485152">
        <w:rPr>
          <w:rFonts w:asciiTheme="majorBidi" w:hAnsiTheme="majorBidi" w:cstheme="majorBidi"/>
          <w:sz w:val="20"/>
          <w:szCs w:val="20"/>
          <w:lang w:val="es-ES"/>
        </w:rPr>
        <w:t xml:space="preserve">v. Peru, IACtHR, 24 November 2006, §66; </w:t>
      </w:r>
      <w:r w:rsidRPr="00485152">
        <w:rPr>
          <w:rFonts w:asciiTheme="majorBidi" w:hAnsiTheme="majorBidi" w:cstheme="majorBidi"/>
          <w:i/>
          <w:iCs/>
          <w:sz w:val="20"/>
          <w:szCs w:val="20"/>
          <w:lang w:val="es-ES"/>
        </w:rPr>
        <w:t>González Medina and family v. Dominican Republic</w:t>
      </w:r>
      <w:r w:rsidRPr="00485152">
        <w:rPr>
          <w:rFonts w:asciiTheme="majorBidi" w:hAnsiTheme="majorBidi" w:cstheme="majorBidi"/>
          <w:sz w:val="20"/>
          <w:szCs w:val="20"/>
          <w:lang w:val="es-ES"/>
        </w:rPr>
        <w:t xml:space="preserve">, IACtHR, 27 February 2012, §28; </w:t>
      </w:r>
      <w:r w:rsidRPr="00485152">
        <w:rPr>
          <w:rFonts w:asciiTheme="majorBidi" w:hAnsiTheme="majorBidi" w:cstheme="majorBidi"/>
          <w:i/>
          <w:iCs/>
          <w:sz w:val="20"/>
          <w:szCs w:val="20"/>
          <w:lang w:val="es-ES"/>
        </w:rPr>
        <w:t>Díaz Peña v. Venezuela</w:t>
      </w:r>
      <w:r w:rsidRPr="00485152">
        <w:rPr>
          <w:rFonts w:asciiTheme="majorBidi" w:hAnsiTheme="majorBidi" w:cstheme="majorBidi"/>
          <w:sz w:val="20"/>
          <w:szCs w:val="20"/>
          <w:lang w:val="es-ES"/>
        </w:rPr>
        <w:t>, IACtHR, 26 June 2012, §115.</w:t>
      </w:r>
    </w:p>
  </w:footnote>
  <w:footnote w:id="55">
    <w:p w14:paraId="7C230318" w14:textId="77777777" w:rsidR="003A1201" w:rsidRPr="00485152" w:rsidRDefault="003A1201" w:rsidP="000D1F78">
      <w:pPr>
        <w:pStyle w:val="FootnoteText"/>
        <w:numPr>
          <w:ilvl w:val="0"/>
          <w:numId w:val="0"/>
        </w:numPr>
        <w:rPr>
          <w:sz w:val="20"/>
          <w:szCs w:val="20"/>
          <w:lang w:val="it-IT"/>
        </w:rPr>
      </w:pPr>
      <w:r w:rsidRPr="00485152">
        <w:rPr>
          <w:rStyle w:val="FootnoteReference"/>
          <w:sz w:val="20"/>
          <w:szCs w:val="20"/>
        </w:rPr>
        <w:footnoteRef/>
      </w:r>
      <w:r w:rsidRPr="00485152">
        <w:rPr>
          <w:sz w:val="20"/>
          <w:szCs w:val="20"/>
          <w:lang w:val="it-IT"/>
        </w:rPr>
        <w:t xml:space="preserve"> </w:t>
      </w:r>
      <w:r w:rsidRPr="00485152">
        <w:rPr>
          <w:i/>
          <w:sz w:val="20"/>
          <w:szCs w:val="20"/>
          <w:lang w:val="it-IT"/>
        </w:rPr>
        <w:t xml:space="preserve">Mémoli v. Argentina, </w:t>
      </w:r>
      <w:r w:rsidRPr="00485152">
        <w:rPr>
          <w:sz w:val="20"/>
          <w:szCs w:val="20"/>
          <w:lang w:val="it-IT"/>
        </w:rPr>
        <w:t>IACtHR, 22 August 2013, §38 (a contrario).</w:t>
      </w:r>
    </w:p>
  </w:footnote>
  <w:footnote w:id="56">
    <w:p w14:paraId="663A9CD0" w14:textId="359A2D14" w:rsidR="003A1201" w:rsidRPr="00485152" w:rsidRDefault="003A1201" w:rsidP="000D1F78">
      <w:pPr>
        <w:pStyle w:val="FootnoteText"/>
        <w:numPr>
          <w:ilvl w:val="0"/>
          <w:numId w:val="0"/>
        </w:numPr>
        <w:rPr>
          <w:sz w:val="20"/>
          <w:szCs w:val="20"/>
          <w:lang w:val="en-GB"/>
        </w:rPr>
      </w:pPr>
      <w:r w:rsidRPr="00485152">
        <w:rPr>
          <w:rStyle w:val="FootnoteReference"/>
          <w:rFonts w:asciiTheme="majorBidi" w:hAnsiTheme="majorBidi" w:cstheme="majorBidi"/>
          <w:sz w:val="20"/>
          <w:szCs w:val="20"/>
        </w:rPr>
        <w:footnoteRef/>
      </w:r>
      <w:r w:rsidRPr="00485152">
        <w:rPr>
          <w:sz w:val="20"/>
          <w:szCs w:val="20"/>
          <w:lang w:val="en-GB"/>
        </w:rPr>
        <w:t xml:space="preserve"> Clarification Questions, no.1.</w:t>
      </w:r>
    </w:p>
  </w:footnote>
  <w:footnote w:id="57">
    <w:p w14:paraId="719EC362" w14:textId="5C7B8A1A" w:rsidR="003A1201" w:rsidRPr="00485152" w:rsidRDefault="003A1201" w:rsidP="000D1F78">
      <w:pPr>
        <w:pStyle w:val="FootnoteText"/>
        <w:numPr>
          <w:ilvl w:val="0"/>
          <w:numId w:val="0"/>
        </w:numPr>
        <w:rPr>
          <w:sz w:val="20"/>
          <w:szCs w:val="20"/>
          <w:lang w:val="en-GB"/>
        </w:rPr>
      </w:pPr>
      <w:r w:rsidRPr="00485152">
        <w:rPr>
          <w:rStyle w:val="FootnoteReference"/>
          <w:rFonts w:asciiTheme="majorBidi" w:hAnsiTheme="majorBidi" w:cstheme="majorBidi"/>
          <w:sz w:val="20"/>
          <w:szCs w:val="20"/>
          <w:lang w:val="en-GB"/>
        </w:rPr>
        <w:footnoteRef/>
      </w:r>
      <w:r w:rsidRPr="00485152">
        <w:rPr>
          <w:sz w:val="20"/>
          <w:szCs w:val="20"/>
          <w:lang w:val="en-GB"/>
        </w:rPr>
        <w:t xml:space="preserve"> Hypothetical, p.11, §53; Clarification Questions, no.1.</w:t>
      </w:r>
    </w:p>
  </w:footnote>
  <w:footnote w:id="58">
    <w:p w14:paraId="04093A81"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p.11, §§53-55.</w:t>
      </w:r>
    </w:p>
  </w:footnote>
  <w:footnote w:id="59">
    <w:p w14:paraId="7116188A"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p.5, §26.</w:t>
      </w:r>
    </w:p>
  </w:footnote>
  <w:footnote w:id="60">
    <w:p w14:paraId="77B85061" w14:textId="77777777" w:rsidR="003A1201" w:rsidRPr="00485152" w:rsidRDefault="003A1201" w:rsidP="000D1F78">
      <w:pPr>
        <w:pStyle w:val="FootnoteText"/>
        <w:numPr>
          <w:ilvl w:val="0"/>
          <w:numId w:val="0"/>
        </w:numPr>
        <w:rPr>
          <w:rFonts w:asciiTheme="majorBidi" w:hAnsiTheme="majorBidi" w:cstheme="majorBidi"/>
          <w:i/>
          <w:sz w:val="20"/>
          <w:szCs w:val="20"/>
          <w:lang w:val="en-US"/>
        </w:rPr>
      </w:pPr>
      <w:r w:rsidRPr="00485152">
        <w:rPr>
          <w:rStyle w:val="FootnoteReference"/>
          <w:rFonts w:asciiTheme="majorBidi" w:hAnsiTheme="majorBidi" w:cstheme="majorBidi"/>
          <w:i/>
          <w:sz w:val="20"/>
          <w:szCs w:val="20"/>
        </w:rPr>
        <w:footnoteRef/>
      </w:r>
      <w:r w:rsidRPr="00485152">
        <w:rPr>
          <w:rFonts w:asciiTheme="majorBidi" w:hAnsiTheme="majorBidi" w:cstheme="majorBidi"/>
          <w:i/>
          <w:sz w:val="20"/>
          <w:szCs w:val="20"/>
          <w:lang w:val="en-US"/>
        </w:rPr>
        <w:t xml:space="preserve"> Case of the Massacre of El Mozote and Nearby Places v. El Salvador</w:t>
      </w:r>
      <w:r w:rsidRPr="00485152">
        <w:rPr>
          <w:rFonts w:asciiTheme="majorBidi" w:hAnsiTheme="majorBidi" w:cstheme="majorBidi"/>
          <w:sz w:val="20"/>
          <w:szCs w:val="20"/>
          <w:lang w:val="en-US"/>
        </w:rPr>
        <w:t>, IACtHR, 25 October 2012, § 249.</w:t>
      </w:r>
    </w:p>
  </w:footnote>
  <w:footnote w:id="61">
    <w:p w14:paraId="74F088F4"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i/>
          <w:sz w:val="20"/>
          <w:szCs w:val="20"/>
          <w:lang w:val="en-GB"/>
        </w:rPr>
        <w:t>Constitutional Court v. Peru</w:t>
      </w:r>
      <w:r w:rsidRPr="00485152">
        <w:rPr>
          <w:rFonts w:asciiTheme="majorBidi" w:hAnsiTheme="majorBidi" w:cstheme="majorBidi"/>
          <w:sz w:val="20"/>
          <w:szCs w:val="20"/>
          <w:lang w:val="en-GB"/>
        </w:rPr>
        <w:t>, IACtHR, 31 January 2001, §123.</w:t>
      </w:r>
    </w:p>
  </w:footnote>
  <w:footnote w:id="62">
    <w:p w14:paraId="4AC2F240" w14:textId="63F618C0"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p.4, §21; p.9, §§44-46.</w:t>
      </w:r>
    </w:p>
  </w:footnote>
  <w:footnote w:id="63">
    <w:p w14:paraId="33D45399"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i/>
          <w:color w:val="000000" w:themeColor="text1"/>
          <w:sz w:val="20"/>
          <w:szCs w:val="20"/>
          <w:lang w:val="en-US"/>
        </w:rPr>
        <w:t xml:space="preserve">Baldeón-García v. Peru, </w:t>
      </w:r>
      <w:r w:rsidRPr="00485152">
        <w:rPr>
          <w:rFonts w:asciiTheme="majorBidi" w:hAnsiTheme="majorBidi" w:cstheme="majorBidi"/>
          <w:color w:val="000000" w:themeColor="text1"/>
          <w:sz w:val="20"/>
          <w:szCs w:val="20"/>
          <w:lang w:val="en-US"/>
        </w:rPr>
        <w:t>IACtHR, 6 April 2006, §94.</w:t>
      </w:r>
      <w:r w:rsidRPr="00485152">
        <w:rPr>
          <w:rFonts w:asciiTheme="majorBidi" w:hAnsiTheme="majorBidi" w:cstheme="majorBidi"/>
          <w:i/>
          <w:color w:val="000000" w:themeColor="text1"/>
          <w:sz w:val="20"/>
          <w:szCs w:val="20"/>
          <w:lang w:val="en-US"/>
        </w:rPr>
        <w:t xml:space="preserve"> </w:t>
      </w:r>
    </w:p>
  </w:footnote>
  <w:footnote w:id="64">
    <w:p w14:paraId="7397DFF5"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p.4, §21.</w:t>
      </w:r>
    </w:p>
  </w:footnote>
  <w:footnote w:id="65">
    <w:p w14:paraId="2477AFDE" w14:textId="5ACCDB22"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w:t>
      </w:r>
      <w:r w:rsidRPr="00485152">
        <w:rPr>
          <w:i/>
          <w:sz w:val="20"/>
          <w:szCs w:val="20"/>
          <w:lang w:val="en-US"/>
        </w:rPr>
        <w:t>Prosecutor v. Jean-Pierre Bemba</w:t>
      </w:r>
      <w:r w:rsidRPr="00485152">
        <w:rPr>
          <w:sz w:val="20"/>
          <w:szCs w:val="20"/>
          <w:lang w:val="en-US"/>
        </w:rPr>
        <w:t>, ICC, 15 June 2009, §407.</w:t>
      </w:r>
    </w:p>
  </w:footnote>
  <w:footnote w:id="66">
    <w:p w14:paraId="1EA2A6DA" w14:textId="0950D7DD"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i/>
          <w:sz w:val="20"/>
          <w:szCs w:val="20"/>
          <w:lang w:val="en-US"/>
        </w:rPr>
        <w:t>Prosecutor v. Halilovic</w:t>
      </w:r>
      <w:r w:rsidRPr="00485152">
        <w:rPr>
          <w:rFonts w:asciiTheme="majorBidi" w:hAnsiTheme="majorBidi" w:cstheme="majorBidi"/>
          <w:sz w:val="20"/>
          <w:szCs w:val="20"/>
          <w:lang w:val="en-US"/>
        </w:rPr>
        <w:t>, ICTY, 16 November 2005, §56.</w:t>
      </w:r>
    </w:p>
  </w:footnote>
  <w:footnote w:id="67">
    <w:p w14:paraId="32CF748C" w14:textId="7F62208F"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Art. 28 Rome Statute of the International Criminal Court A/CONF.183/9, 1 July, 2002; </w:t>
      </w:r>
      <w:r w:rsidRPr="00485152">
        <w:rPr>
          <w:rFonts w:asciiTheme="majorBidi" w:hAnsiTheme="majorBidi" w:cstheme="majorBidi"/>
          <w:sz w:val="20"/>
          <w:szCs w:val="20"/>
          <w:lang w:val="en-US"/>
        </w:rPr>
        <w:t>Art. 7(3) Statute of the International Criminal Tribunal for the Former Yugoslavia, S/RES/827, 25 May 1993.</w:t>
      </w:r>
    </w:p>
  </w:footnote>
  <w:footnote w:id="68">
    <w:p w14:paraId="5BB6DE3F" w14:textId="77777777" w:rsidR="003A1201" w:rsidRPr="00485152" w:rsidRDefault="003A1201" w:rsidP="000D1F78">
      <w:pPr>
        <w:pStyle w:val="FootnoteText"/>
        <w:numPr>
          <w:ilvl w:val="0"/>
          <w:numId w:val="0"/>
        </w:numPr>
        <w:rPr>
          <w:b/>
          <w:color w:val="FF0000"/>
          <w:sz w:val="20"/>
          <w:szCs w:val="20"/>
          <w:lang w:val="en-US"/>
        </w:rPr>
      </w:pPr>
      <w:r w:rsidRPr="00485152">
        <w:rPr>
          <w:rStyle w:val="FootnoteReference"/>
          <w:sz w:val="20"/>
          <w:szCs w:val="20"/>
        </w:rPr>
        <w:footnoteRef/>
      </w:r>
      <w:r w:rsidRPr="00485152">
        <w:rPr>
          <w:sz w:val="20"/>
          <w:szCs w:val="20"/>
          <w:lang w:val="en-US"/>
        </w:rPr>
        <w:t xml:space="preserve"> Preliminary Report of the Independent Commission of Experts established in accordance with Security Council resolution 935, S/1994/1125 (4 October 1994), §§129-130; </w:t>
      </w:r>
      <w:r w:rsidRPr="00485152">
        <w:rPr>
          <w:i/>
          <w:sz w:val="20"/>
          <w:szCs w:val="20"/>
          <w:lang w:val="en-US"/>
        </w:rPr>
        <w:t>See also</w:t>
      </w:r>
      <w:r w:rsidRPr="00485152">
        <w:rPr>
          <w:sz w:val="20"/>
          <w:szCs w:val="20"/>
          <w:lang w:val="en-US"/>
        </w:rPr>
        <w:t xml:space="preserve">: Art. 1 Agreement between the United Nations and The Royal Government of Cambodia concerning the Prosecution under Cambodian Law of Crimes committed during the Period of Democratic Kampuchea, 6 June 2003. </w:t>
      </w:r>
    </w:p>
  </w:footnote>
  <w:footnote w:id="69">
    <w:p w14:paraId="11790A5B"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Protocol Additional to the Geneva Conventions of 12 August 1946 9, and relating to the Protection of Victims of International Armed Conflicts (Protocol I), 8 June 1977.</w:t>
      </w:r>
    </w:p>
  </w:footnote>
  <w:footnote w:id="70">
    <w:p w14:paraId="32DC64A8"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T. KARIMOVA, What amounts to ‘a serious violation of International Human Rights Law’?, Geneva Academy Briefing No. 6, Geneva, August 2014, p. 25; see also: Separate Opinion of Judge Sergio García Ramírez concerning </w:t>
      </w:r>
      <w:r w:rsidRPr="00485152">
        <w:rPr>
          <w:rFonts w:asciiTheme="majorBidi" w:hAnsiTheme="majorBidi" w:cstheme="majorBidi"/>
          <w:i/>
          <w:sz w:val="20"/>
          <w:szCs w:val="20"/>
          <w:lang w:val="en-US"/>
        </w:rPr>
        <w:t>Goiburú et al. v Paraguay</w:t>
      </w:r>
      <w:r w:rsidRPr="00485152">
        <w:rPr>
          <w:rFonts w:asciiTheme="majorBidi" w:hAnsiTheme="majorBidi" w:cstheme="majorBidi"/>
          <w:sz w:val="20"/>
          <w:szCs w:val="20"/>
          <w:lang w:val="en-US"/>
        </w:rPr>
        <w:t>, IACtHR, 22 September 2006, § 6.</w:t>
      </w:r>
    </w:p>
  </w:footnote>
  <w:footnote w:id="71">
    <w:p w14:paraId="399D71C7" w14:textId="3849101E" w:rsidR="003A1201" w:rsidRPr="00485152" w:rsidRDefault="003A1201" w:rsidP="00AE51B0">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p.4, § 21.</w:t>
      </w:r>
    </w:p>
  </w:footnote>
  <w:footnote w:id="72">
    <w:p w14:paraId="4C0E449E"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i/>
          <w:sz w:val="20"/>
          <w:szCs w:val="20"/>
          <w:lang w:val="en-US"/>
        </w:rPr>
        <w:t>Prosecutor v. Abu Garda,</w:t>
      </w:r>
      <w:r w:rsidRPr="00485152">
        <w:rPr>
          <w:rFonts w:asciiTheme="majorBidi" w:hAnsiTheme="majorBidi" w:cstheme="majorBidi"/>
          <w:sz w:val="20"/>
          <w:szCs w:val="20"/>
          <w:lang w:val="en-US"/>
        </w:rPr>
        <w:t xml:space="preserve"> ICC, 8 February 2010, §31; ICC, </w:t>
      </w:r>
      <w:r w:rsidRPr="00485152">
        <w:rPr>
          <w:rFonts w:asciiTheme="majorBidi" w:hAnsiTheme="majorBidi" w:cstheme="majorBidi"/>
          <w:i/>
          <w:sz w:val="20"/>
          <w:szCs w:val="20"/>
          <w:lang w:val="en-US"/>
        </w:rPr>
        <w:t>Draft Policy paper on Preliminary Examinations</w:t>
      </w:r>
      <w:r w:rsidRPr="00485152">
        <w:rPr>
          <w:rFonts w:asciiTheme="majorBidi" w:hAnsiTheme="majorBidi" w:cstheme="majorBidi"/>
          <w:sz w:val="20"/>
          <w:szCs w:val="20"/>
          <w:lang w:val="en-US"/>
        </w:rPr>
        <w:t>, 4 October 2010, p.13-14, §70.</w:t>
      </w:r>
    </w:p>
  </w:footnote>
  <w:footnote w:id="73">
    <w:p w14:paraId="5A6B3518" w14:textId="1B333622"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w:t>
      </w:r>
      <w:r w:rsidRPr="00485152">
        <w:rPr>
          <w:i/>
          <w:sz w:val="20"/>
          <w:szCs w:val="20"/>
          <w:lang w:val="en-US"/>
        </w:rPr>
        <w:t>Prosecutor v. Furundžija</w:t>
      </w:r>
      <w:r w:rsidRPr="00485152">
        <w:rPr>
          <w:sz w:val="20"/>
          <w:szCs w:val="20"/>
          <w:lang w:val="en-US"/>
        </w:rPr>
        <w:t>, ICTY, 10 December 1998, §155.</w:t>
      </w:r>
    </w:p>
  </w:footnote>
  <w:footnote w:id="74">
    <w:p w14:paraId="5DE0AF6F"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i/>
          <w:sz w:val="20"/>
          <w:szCs w:val="20"/>
          <w:lang w:val="en-US"/>
        </w:rPr>
        <w:t>Goiburú et al. v Paraguay</w:t>
      </w:r>
      <w:r w:rsidRPr="00485152">
        <w:rPr>
          <w:sz w:val="20"/>
          <w:szCs w:val="20"/>
          <w:lang w:val="en-US"/>
        </w:rPr>
        <w:t xml:space="preserve">, IACtHR, 22 September 2006, §82; </w:t>
      </w:r>
      <w:r w:rsidRPr="00485152">
        <w:rPr>
          <w:i/>
          <w:color w:val="141823"/>
          <w:sz w:val="20"/>
          <w:szCs w:val="20"/>
          <w:shd w:val="clear" w:color="auto" w:fill="FFFFFF"/>
        </w:rPr>
        <w:t>Case of the Serrano-Cruz Sisters v. El Salvador</w:t>
      </w:r>
      <w:r w:rsidRPr="00485152">
        <w:rPr>
          <w:color w:val="141823"/>
          <w:sz w:val="20"/>
          <w:szCs w:val="20"/>
          <w:shd w:val="clear" w:color="auto" w:fill="FFFFFF"/>
        </w:rPr>
        <w:t xml:space="preserve">, IACtHR, 1 March 2005, §62; </w:t>
      </w:r>
      <w:r w:rsidRPr="00485152">
        <w:rPr>
          <w:i/>
          <w:color w:val="141823"/>
          <w:sz w:val="20"/>
          <w:szCs w:val="20"/>
          <w:shd w:val="clear" w:color="auto" w:fill="FFFFFF"/>
        </w:rPr>
        <w:t>Case of Almonacid-Arellano et al v. Chile</w:t>
      </w:r>
      <w:r w:rsidRPr="00485152">
        <w:rPr>
          <w:color w:val="141823"/>
          <w:sz w:val="20"/>
          <w:szCs w:val="20"/>
          <w:shd w:val="clear" w:color="auto" w:fill="FFFFFF"/>
        </w:rPr>
        <w:t xml:space="preserve">, IACtHR, 26 September 2006, §101; </w:t>
      </w:r>
      <w:r w:rsidRPr="00485152">
        <w:rPr>
          <w:i/>
          <w:color w:val="141823"/>
          <w:sz w:val="20"/>
          <w:szCs w:val="20"/>
          <w:shd w:val="clear" w:color="auto" w:fill="FFFFFF"/>
        </w:rPr>
        <w:t>Gelman v. Uruguay</w:t>
      </w:r>
      <w:r w:rsidRPr="00485152">
        <w:rPr>
          <w:color w:val="141823"/>
          <w:sz w:val="20"/>
          <w:szCs w:val="20"/>
          <w:shd w:val="clear" w:color="auto" w:fill="FFFFFF"/>
        </w:rPr>
        <w:t>, IACtHR, 24 February 2011, §65</w:t>
      </w:r>
      <w:r w:rsidRPr="00485152">
        <w:rPr>
          <w:rFonts w:ascii="Helvetica" w:hAnsi="Helvetica"/>
          <w:color w:val="141823"/>
          <w:sz w:val="20"/>
          <w:szCs w:val="20"/>
          <w:shd w:val="clear" w:color="auto" w:fill="FFFFFF"/>
        </w:rPr>
        <w:t>.</w:t>
      </w:r>
    </w:p>
  </w:footnote>
  <w:footnote w:id="75">
    <w:p w14:paraId="0FB72DBD"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w:t>
      </w:r>
      <w:r w:rsidRPr="00485152">
        <w:rPr>
          <w:rFonts w:asciiTheme="majorBidi" w:hAnsiTheme="majorBidi" w:cstheme="majorBidi"/>
          <w:i/>
          <w:sz w:val="20"/>
          <w:szCs w:val="20"/>
          <w:lang w:val="en-US"/>
        </w:rPr>
        <w:t>Gelman v. Uruguay</w:t>
      </w:r>
      <w:r w:rsidRPr="00485152">
        <w:rPr>
          <w:rFonts w:asciiTheme="majorBidi" w:hAnsiTheme="majorBidi" w:cstheme="majorBidi"/>
          <w:sz w:val="20"/>
          <w:szCs w:val="20"/>
          <w:lang w:val="en-US"/>
        </w:rPr>
        <w:t>, IACtHR, 24 February 2011, §209.</w:t>
      </w:r>
    </w:p>
  </w:footnote>
  <w:footnote w:id="76">
    <w:p w14:paraId="01625B2B"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Art. 4, Convention on the Non-applicability of statutory limitations to war crimes and crimes against humanity A/7218, United Nations General Assembly, 11 November, 1970.</w:t>
      </w:r>
    </w:p>
  </w:footnote>
  <w:footnote w:id="77">
    <w:p w14:paraId="28A09FDD" w14:textId="77777777" w:rsidR="003A1201" w:rsidRPr="00485152" w:rsidRDefault="003A1201" w:rsidP="002E39AB">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rFonts w:asciiTheme="majorBidi" w:hAnsiTheme="majorBidi" w:cstheme="majorBidi"/>
          <w:i/>
          <w:sz w:val="20"/>
          <w:szCs w:val="20"/>
          <w:lang w:val="en-US"/>
        </w:rPr>
        <w:t>Statement by the Inter-American Commission on Human Rights on the Application and Scope of the Justice and Peace Law in Colombia</w:t>
      </w:r>
      <w:r w:rsidRPr="00485152">
        <w:rPr>
          <w:rFonts w:asciiTheme="majorBidi" w:hAnsiTheme="majorBidi" w:cstheme="majorBidi"/>
          <w:sz w:val="20"/>
          <w:szCs w:val="20"/>
          <w:lang w:val="en-US"/>
        </w:rPr>
        <w:t>, IACHR, OEA/Ser/LV/II.125, 1 August 2006.</w:t>
      </w:r>
    </w:p>
  </w:footnote>
  <w:footnote w:id="78">
    <w:p w14:paraId="35503A3E"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p.4, §17.</w:t>
      </w:r>
    </w:p>
  </w:footnote>
  <w:footnote w:id="79">
    <w:p w14:paraId="61D72A26"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p.5, §§22-23; p.9, §44.</w:t>
      </w:r>
    </w:p>
  </w:footnote>
  <w:footnote w:id="80">
    <w:p w14:paraId="1678E00B"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p.5, §24.</w:t>
      </w:r>
    </w:p>
  </w:footnote>
  <w:footnote w:id="81">
    <w:p w14:paraId="239CCB56"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w:t>
      </w:r>
      <w:r w:rsidRPr="00485152">
        <w:rPr>
          <w:rFonts w:asciiTheme="majorBidi" w:hAnsiTheme="majorBidi" w:cstheme="majorBidi"/>
          <w:i/>
          <w:sz w:val="20"/>
          <w:szCs w:val="20"/>
          <w:lang w:val="en-US"/>
        </w:rPr>
        <w:t>Gelman v. Uruguay</w:t>
      </w:r>
      <w:r w:rsidRPr="00485152">
        <w:rPr>
          <w:rFonts w:asciiTheme="majorBidi" w:hAnsiTheme="majorBidi" w:cstheme="majorBidi"/>
          <w:sz w:val="20"/>
          <w:szCs w:val="20"/>
          <w:lang w:val="en-US"/>
        </w:rPr>
        <w:t>, IACtHR, 24 February 2011, § 65; Art. II of the Inter-American Convention on the Forced Disappearance of Persons, OAS, 6 September 1994.</w:t>
      </w:r>
    </w:p>
  </w:footnote>
  <w:footnote w:id="82">
    <w:p w14:paraId="51317AE2" w14:textId="07FBA350" w:rsidR="003A1201" w:rsidRPr="00EA796A"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Art. II Inter-American Convention on forced disappearance of persons.</w:t>
      </w:r>
    </w:p>
  </w:footnote>
  <w:footnote w:id="83">
    <w:p w14:paraId="7244055E" w14:textId="081F55CB" w:rsidR="003A1201" w:rsidRPr="00EA796A" w:rsidRDefault="003A1201" w:rsidP="000D1F78">
      <w:pPr>
        <w:pStyle w:val="FootnoteText"/>
        <w:numPr>
          <w:ilvl w:val="0"/>
          <w:numId w:val="0"/>
        </w:numPr>
        <w:rPr>
          <w:sz w:val="20"/>
          <w:szCs w:val="20"/>
          <w:lang w:val="en-US"/>
        </w:rPr>
      </w:pPr>
      <w:r w:rsidRPr="00485152">
        <w:rPr>
          <w:rStyle w:val="FootnoteReference"/>
          <w:sz w:val="20"/>
          <w:szCs w:val="20"/>
        </w:rPr>
        <w:footnoteRef/>
      </w:r>
      <w:r w:rsidRPr="00EA796A">
        <w:rPr>
          <w:sz w:val="20"/>
          <w:szCs w:val="20"/>
          <w:lang w:val="en-US"/>
        </w:rPr>
        <w:t xml:space="preserve"> Paragraph 18 and 19.</w:t>
      </w:r>
    </w:p>
  </w:footnote>
  <w:footnote w:id="84">
    <w:p w14:paraId="368EDC1D" w14:textId="77777777" w:rsidR="003A1201" w:rsidRPr="00EA796A" w:rsidRDefault="003A1201" w:rsidP="000D1F78">
      <w:pPr>
        <w:pStyle w:val="FootnoteText"/>
        <w:numPr>
          <w:ilvl w:val="0"/>
          <w:numId w:val="0"/>
        </w:numPr>
        <w:rPr>
          <w:sz w:val="20"/>
          <w:szCs w:val="20"/>
          <w:lang w:val="en-US"/>
        </w:rPr>
      </w:pPr>
      <w:r w:rsidRPr="00485152">
        <w:rPr>
          <w:rStyle w:val="FootnoteReference"/>
          <w:sz w:val="20"/>
          <w:szCs w:val="20"/>
        </w:rPr>
        <w:footnoteRef/>
      </w:r>
      <w:r w:rsidRPr="00EA796A">
        <w:rPr>
          <w:sz w:val="20"/>
          <w:szCs w:val="20"/>
          <w:lang w:val="en-US"/>
        </w:rPr>
        <w:t xml:space="preserve"> </w:t>
      </w:r>
      <w:r w:rsidRPr="00EA796A">
        <w:rPr>
          <w:rFonts w:asciiTheme="majorBidi" w:hAnsiTheme="majorBidi" w:cstheme="majorBidi"/>
          <w:i/>
          <w:sz w:val="20"/>
          <w:szCs w:val="20"/>
          <w:lang w:val="en-US"/>
        </w:rPr>
        <w:t>Bamaca Velasquez v. Guatemala</w:t>
      </w:r>
      <w:r w:rsidRPr="00EA796A">
        <w:rPr>
          <w:rFonts w:asciiTheme="majorBidi" w:hAnsiTheme="majorBidi" w:cstheme="majorBidi"/>
          <w:sz w:val="20"/>
          <w:szCs w:val="20"/>
          <w:lang w:val="en-US"/>
        </w:rPr>
        <w:t>, IACtHR, 25 November 2000, §§145 and 152-153.</w:t>
      </w:r>
    </w:p>
  </w:footnote>
  <w:footnote w:id="85">
    <w:p w14:paraId="219F0CD8" w14:textId="77777777" w:rsidR="003A1201" w:rsidRPr="00EA796A" w:rsidRDefault="003A1201" w:rsidP="000D1F78">
      <w:pPr>
        <w:pStyle w:val="FootnoteText"/>
        <w:numPr>
          <w:ilvl w:val="0"/>
          <w:numId w:val="0"/>
        </w:numPr>
        <w:rPr>
          <w:sz w:val="20"/>
          <w:szCs w:val="20"/>
          <w:lang w:val="en-US"/>
        </w:rPr>
      </w:pPr>
      <w:r w:rsidRPr="00485152">
        <w:rPr>
          <w:rStyle w:val="FootnoteReference"/>
          <w:sz w:val="20"/>
          <w:szCs w:val="20"/>
        </w:rPr>
        <w:footnoteRef/>
      </w:r>
      <w:r w:rsidRPr="00EA796A">
        <w:rPr>
          <w:sz w:val="20"/>
          <w:szCs w:val="20"/>
          <w:lang w:val="en-US"/>
        </w:rPr>
        <w:t xml:space="preserve"> </w:t>
      </w:r>
      <w:r w:rsidRPr="00EA796A">
        <w:rPr>
          <w:i/>
          <w:sz w:val="20"/>
          <w:szCs w:val="20"/>
          <w:lang w:val="en-US"/>
        </w:rPr>
        <w:t>Velasquez Rodriguez v. Honduras</w:t>
      </w:r>
      <w:r w:rsidRPr="00EA796A">
        <w:rPr>
          <w:sz w:val="20"/>
          <w:szCs w:val="20"/>
          <w:lang w:val="en-US"/>
        </w:rPr>
        <w:t xml:space="preserve">, IACtHR, 29 July 1988, </w:t>
      </w:r>
      <w:r w:rsidRPr="00EA796A">
        <w:rPr>
          <w:rFonts w:asciiTheme="majorBidi" w:hAnsiTheme="majorBidi" w:cstheme="majorBidi"/>
          <w:sz w:val="20"/>
          <w:szCs w:val="20"/>
          <w:lang w:val="en-US"/>
        </w:rPr>
        <w:t>§126</w:t>
      </w:r>
    </w:p>
  </w:footnote>
  <w:footnote w:id="86">
    <w:p w14:paraId="6DBC78CE" w14:textId="65FC23CA"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p.1, </w:t>
      </w:r>
      <w:r w:rsidRPr="00EA796A">
        <w:rPr>
          <w:rFonts w:asciiTheme="majorBidi" w:hAnsiTheme="majorBidi" w:cstheme="majorBidi"/>
          <w:sz w:val="20"/>
          <w:szCs w:val="20"/>
          <w:lang w:val="en-US"/>
        </w:rPr>
        <w:t>§5.</w:t>
      </w:r>
    </w:p>
  </w:footnote>
  <w:footnote w:id="87">
    <w:p w14:paraId="72737BD5"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p.10, §52.</w:t>
      </w:r>
    </w:p>
  </w:footnote>
  <w:footnote w:id="88">
    <w:p w14:paraId="5362841A"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p.10, §51.</w:t>
      </w:r>
    </w:p>
  </w:footnote>
  <w:footnote w:id="89">
    <w:p w14:paraId="0572BEAD"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p.8, §40.</w:t>
      </w:r>
    </w:p>
  </w:footnote>
  <w:footnote w:id="90">
    <w:p w14:paraId="1E09B589"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p.10, §51.</w:t>
      </w:r>
    </w:p>
  </w:footnote>
  <w:footnote w:id="91">
    <w:p w14:paraId="75861591" w14:textId="7043A859"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Clarification question, no.58. </w:t>
      </w:r>
    </w:p>
  </w:footnote>
  <w:footnote w:id="92">
    <w:p w14:paraId="33F662D9"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w:t>
      </w:r>
      <w:r w:rsidRPr="00485152">
        <w:rPr>
          <w:i/>
          <w:sz w:val="20"/>
          <w:szCs w:val="20"/>
          <w:lang w:val="en-US"/>
        </w:rPr>
        <w:t xml:space="preserve">Garcia and family members v. Guatemala, </w:t>
      </w:r>
      <w:r w:rsidRPr="00485152">
        <w:rPr>
          <w:sz w:val="20"/>
          <w:szCs w:val="20"/>
          <w:lang w:val="en-US"/>
        </w:rPr>
        <w:t xml:space="preserve">IACtHR, 29 November 2012, </w:t>
      </w:r>
      <w:r w:rsidRPr="00485152">
        <w:rPr>
          <w:rFonts w:asciiTheme="majorBidi" w:hAnsiTheme="majorBidi" w:cstheme="majorBidi"/>
          <w:sz w:val="20"/>
          <w:szCs w:val="20"/>
          <w:lang w:val="en-US"/>
        </w:rPr>
        <w:t>§99.</w:t>
      </w:r>
    </w:p>
  </w:footnote>
  <w:footnote w:id="93">
    <w:p w14:paraId="0E3AEC63" w14:textId="77777777" w:rsidR="003A1201" w:rsidRPr="00485152" w:rsidRDefault="003A1201" w:rsidP="000D1F78">
      <w:pPr>
        <w:pStyle w:val="FootnoteText"/>
        <w:numPr>
          <w:ilvl w:val="0"/>
          <w:numId w:val="0"/>
        </w:numPr>
        <w:rPr>
          <w:sz w:val="20"/>
          <w:szCs w:val="20"/>
          <w:lang w:val="bg-BG"/>
        </w:rPr>
      </w:pPr>
      <w:r w:rsidRPr="00485152">
        <w:rPr>
          <w:rStyle w:val="FootnoteReference"/>
          <w:sz w:val="20"/>
          <w:szCs w:val="20"/>
        </w:rPr>
        <w:footnoteRef/>
      </w:r>
      <w:r w:rsidRPr="00485152">
        <w:rPr>
          <w:sz w:val="20"/>
          <w:szCs w:val="20"/>
          <w:lang w:val="es-ES"/>
        </w:rPr>
        <w:t xml:space="preserve"> </w:t>
      </w:r>
      <w:r w:rsidRPr="00485152">
        <w:rPr>
          <w:i/>
          <w:sz w:val="20"/>
          <w:szCs w:val="20"/>
          <w:lang w:val="es-ES"/>
        </w:rPr>
        <w:t xml:space="preserve">Gudiel Alvarez et al. (“Diario Militar”) v. Guatemala, </w:t>
      </w:r>
      <w:r w:rsidRPr="00485152">
        <w:rPr>
          <w:sz w:val="20"/>
          <w:szCs w:val="20"/>
          <w:lang w:val="es-ES"/>
        </w:rPr>
        <w:t xml:space="preserve">IACtHR, 20 November 2012, </w:t>
      </w:r>
      <w:r w:rsidRPr="00485152">
        <w:rPr>
          <w:rFonts w:asciiTheme="majorBidi" w:hAnsiTheme="majorBidi" w:cstheme="majorBidi"/>
          <w:sz w:val="20"/>
          <w:szCs w:val="20"/>
          <w:lang w:val="es-ES"/>
        </w:rPr>
        <w:t xml:space="preserve">§198; </w:t>
      </w:r>
      <w:r w:rsidRPr="00485152">
        <w:rPr>
          <w:i/>
          <w:sz w:val="20"/>
          <w:szCs w:val="20"/>
          <w:lang w:val="es-ES"/>
        </w:rPr>
        <w:t xml:space="preserve">Velasquez Rodriguez v. Honduras, </w:t>
      </w:r>
      <w:r w:rsidRPr="00485152">
        <w:rPr>
          <w:sz w:val="20"/>
          <w:szCs w:val="20"/>
          <w:lang w:val="es-ES"/>
        </w:rPr>
        <w:t xml:space="preserve">29 July 1988, </w:t>
      </w:r>
      <w:r w:rsidRPr="00485152">
        <w:rPr>
          <w:rFonts w:asciiTheme="majorBidi" w:hAnsiTheme="majorBidi" w:cstheme="majorBidi"/>
          <w:sz w:val="20"/>
          <w:szCs w:val="20"/>
          <w:lang w:val="es-ES"/>
        </w:rPr>
        <w:t>§155.</w:t>
      </w:r>
    </w:p>
  </w:footnote>
  <w:footnote w:id="94">
    <w:p w14:paraId="058B455F" w14:textId="77777777" w:rsidR="003A1201" w:rsidRPr="00485152" w:rsidRDefault="003A1201" w:rsidP="000D1F78">
      <w:pPr>
        <w:pStyle w:val="FootnoteText"/>
        <w:numPr>
          <w:ilvl w:val="0"/>
          <w:numId w:val="0"/>
        </w:numPr>
        <w:rPr>
          <w:sz w:val="20"/>
          <w:szCs w:val="20"/>
          <w:lang w:val="bg-BG"/>
        </w:rPr>
      </w:pPr>
      <w:r w:rsidRPr="00485152">
        <w:rPr>
          <w:rStyle w:val="FootnoteReference"/>
          <w:sz w:val="20"/>
          <w:szCs w:val="20"/>
        </w:rPr>
        <w:footnoteRef/>
      </w:r>
      <w:r w:rsidRPr="00485152">
        <w:rPr>
          <w:sz w:val="20"/>
          <w:szCs w:val="20"/>
          <w:lang w:val="bg-BG"/>
        </w:rPr>
        <w:t xml:space="preserve"> </w:t>
      </w:r>
      <w:r w:rsidRPr="00485152">
        <w:rPr>
          <w:i/>
          <w:sz w:val="20"/>
          <w:szCs w:val="20"/>
          <w:lang w:val="en-US"/>
        </w:rPr>
        <w:t>Garcia</w:t>
      </w:r>
      <w:r w:rsidRPr="00485152">
        <w:rPr>
          <w:i/>
          <w:sz w:val="20"/>
          <w:szCs w:val="20"/>
          <w:lang w:val="bg-BG"/>
        </w:rPr>
        <w:t xml:space="preserve"> </w:t>
      </w:r>
      <w:r w:rsidRPr="00485152">
        <w:rPr>
          <w:i/>
          <w:sz w:val="20"/>
          <w:szCs w:val="20"/>
          <w:lang w:val="en-US"/>
        </w:rPr>
        <w:t>and</w:t>
      </w:r>
      <w:r w:rsidRPr="00485152">
        <w:rPr>
          <w:i/>
          <w:sz w:val="20"/>
          <w:szCs w:val="20"/>
          <w:lang w:val="bg-BG"/>
        </w:rPr>
        <w:t xml:space="preserve"> </w:t>
      </w:r>
      <w:r w:rsidRPr="00485152">
        <w:rPr>
          <w:i/>
          <w:sz w:val="20"/>
          <w:szCs w:val="20"/>
          <w:lang w:val="en-US"/>
        </w:rPr>
        <w:t>family</w:t>
      </w:r>
      <w:r w:rsidRPr="00485152">
        <w:rPr>
          <w:i/>
          <w:sz w:val="20"/>
          <w:szCs w:val="20"/>
          <w:lang w:val="bg-BG"/>
        </w:rPr>
        <w:t xml:space="preserve"> </w:t>
      </w:r>
      <w:r w:rsidRPr="00485152">
        <w:rPr>
          <w:i/>
          <w:sz w:val="20"/>
          <w:szCs w:val="20"/>
          <w:lang w:val="en-US"/>
        </w:rPr>
        <w:t>members</w:t>
      </w:r>
      <w:r w:rsidRPr="00485152">
        <w:rPr>
          <w:i/>
          <w:sz w:val="20"/>
          <w:szCs w:val="20"/>
          <w:lang w:val="bg-BG"/>
        </w:rPr>
        <w:t xml:space="preserve"> </w:t>
      </w:r>
      <w:r w:rsidRPr="00485152">
        <w:rPr>
          <w:i/>
          <w:sz w:val="20"/>
          <w:szCs w:val="20"/>
          <w:lang w:val="en-US"/>
        </w:rPr>
        <w:t>v</w:t>
      </w:r>
      <w:r w:rsidRPr="00485152">
        <w:rPr>
          <w:i/>
          <w:sz w:val="20"/>
          <w:szCs w:val="20"/>
          <w:lang w:val="bg-BG"/>
        </w:rPr>
        <w:t xml:space="preserve">. </w:t>
      </w:r>
      <w:r w:rsidRPr="00485152">
        <w:rPr>
          <w:i/>
          <w:sz w:val="20"/>
          <w:szCs w:val="20"/>
          <w:lang w:val="en-US"/>
        </w:rPr>
        <w:t>Guatemala</w:t>
      </w:r>
      <w:r w:rsidRPr="00485152">
        <w:rPr>
          <w:i/>
          <w:sz w:val="20"/>
          <w:szCs w:val="20"/>
          <w:lang w:val="bg-BG"/>
        </w:rPr>
        <w:t xml:space="preserve">, </w:t>
      </w:r>
      <w:r w:rsidRPr="00485152">
        <w:rPr>
          <w:sz w:val="20"/>
          <w:szCs w:val="20"/>
          <w:lang w:val="en-US"/>
        </w:rPr>
        <w:t>IACtHR</w:t>
      </w:r>
      <w:r w:rsidRPr="00485152">
        <w:rPr>
          <w:sz w:val="20"/>
          <w:szCs w:val="20"/>
          <w:lang w:val="bg-BG"/>
        </w:rPr>
        <w:t xml:space="preserve">, 29 </w:t>
      </w:r>
      <w:r w:rsidRPr="00485152">
        <w:rPr>
          <w:sz w:val="20"/>
          <w:szCs w:val="20"/>
          <w:lang w:val="en-US"/>
        </w:rPr>
        <w:t>November</w:t>
      </w:r>
      <w:r w:rsidRPr="00485152">
        <w:rPr>
          <w:sz w:val="20"/>
          <w:szCs w:val="20"/>
          <w:lang w:val="bg-BG"/>
        </w:rPr>
        <w:t xml:space="preserve"> 2012, </w:t>
      </w:r>
      <w:r w:rsidRPr="00485152">
        <w:rPr>
          <w:rFonts w:asciiTheme="majorBidi" w:hAnsiTheme="majorBidi" w:cstheme="majorBidi"/>
          <w:sz w:val="20"/>
          <w:szCs w:val="20"/>
          <w:lang w:val="bg-BG"/>
        </w:rPr>
        <w:t>§105;</w:t>
      </w:r>
      <w:r w:rsidRPr="00485152">
        <w:rPr>
          <w:sz w:val="20"/>
          <w:szCs w:val="20"/>
          <w:lang w:val="bg-BG"/>
        </w:rPr>
        <w:t xml:space="preserve"> </w:t>
      </w:r>
      <w:r w:rsidRPr="00485152">
        <w:rPr>
          <w:i/>
          <w:sz w:val="20"/>
          <w:szCs w:val="20"/>
          <w:lang w:val="en-US"/>
        </w:rPr>
        <w:t>Velasquez</w:t>
      </w:r>
      <w:r w:rsidRPr="00485152">
        <w:rPr>
          <w:i/>
          <w:sz w:val="20"/>
          <w:szCs w:val="20"/>
          <w:lang w:val="bg-BG"/>
        </w:rPr>
        <w:t xml:space="preserve"> </w:t>
      </w:r>
      <w:r w:rsidRPr="00485152">
        <w:rPr>
          <w:i/>
          <w:sz w:val="20"/>
          <w:szCs w:val="20"/>
          <w:lang w:val="en-US"/>
        </w:rPr>
        <w:t>Rodriguez</w:t>
      </w:r>
      <w:r w:rsidRPr="00485152">
        <w:rPr>
          <w:i/>
          <w:sz w:val="20"/>
          <w:szCs w:val="20"/>
          <w:lang w:val="bg-BG"/>
        </w:rPr>
        <w:t xml:space="preserve"> </w:t>
      </w:r>
      <w:r w:rsidRPr="00485152">
        <w:rPr>
          <w:i/>
          <w:sz w:val="20"/>
          <w:szCs w:val="20"/>
          <w:lang w:val="en-US"/>
        </w:rPr>
        <w:t>v</w:t>
      </w:r>
      <w:r w:rsidRPr="00485152">
        <w:rPr>
          <w:i/>
          <w:sz w:val="20"/>
          <w:szCs w:val="20"/>
          <w:lang w:val="bg-BG"/>
        </w:rPr>
        <w:t xml:space="preserve">. </w:t>
      </w:r>
      <w:r w:rsidRPr="00485152">
        <w:rPr>
          <w:i/>
          <w:sz w:val="20"/>
          <w:szCs w:val="20"/>
          <w:lang w:val="en-US"/>
        </w:rPr>
        <w:t>Honduras</w:t>
      </w:r>
      <w:r w:rsidRPr="00485152">
        <w:rPr>
          <w:i/>
          <w:sz w:val="20"/>
          <w:szCs w:val="20"/>
          <w:lang w:val="bg-BG"/>
        </w:rPr>
        <w:t xml:space="preserve">, </w:t>
      </w:r>
      <w:r w:rsidRPr="00485152">
        <w:rPr>
          <w:sz w:val="20"/>
          <w:szCs w:val="20"/>
          <w:lang w:val="bg-BG"/>
        </w:rPr>
        <w:t xml:space="preserve">29 </w:t>
      </w:r>
      <w:r w:rsidRPr="00485152">
        <w:rPr>
          <w:sz w:val="20"/>
          <w:szCs w:val="20"/>
          <w:lang w:val="en-US"/>
        </w:rPr>
        <w:t>July</w:t>
      </w:r>
      <w:r w:rsidRPr="00485152">
        <w:rPr>
          <w:sz w:val="20"/>
          <w:szCs w:val="20"/>
          <w:lang w:val="bg-BG"/>
        </w:rPr>
        <w:t xml:space="preserve"> 1988, </w:t>
      </w:r>
      <w:r w:rsidRPr="00485152">
        <w:rPr>
          <w:rFonts w:asciiTheme="majorBidi" w:hAnsiTheme="majorBidi" w:cstheme="majorBidi"/>
          <w:sz w:val="20"/>
          <w:szCs w:val="20"/>
          <w:lang w:val="bg-BG"/>
        </w:rPr>
        <w:t>§156.</w:t>
      </w:r>
    </w:p>
  </w:footnote>
  <w:footnote w:id="95">
    <w:p w14:paraId="4AF0F1DA" w14:textId="77777777" w:rsidR="003A1201" w:rsidRPr="00485152" w:rsidRDefault="003A1201" w:rsidP="000D1F78">
      <w:pPr>
        <w:pStyle w:val="FootnoteText"/>
        <w:numPr>
          <w:ilvl w:val="0"/>
          <w:numId w:val="0"/>
        </w:numPr>
        <w:rPr>
          <w:sz w:val="20"/>
          <w:szCs w:val="20"/>
          <w:lang w:val="bg-BG"/>
        </w:rPr>
      </w:pPr>
      <w:r w:rsidRPr="00485152">
        <w:rPr>
          <w:rStyle w:val="FootnoteReference"/>
          <w:sz w:val="20"/>
          <w:szCs w:val="20"/>
        </w:rPr>
        <w:footnoteRef/>
      </w:r>
      <w:r w:rsidRPr="00485152">
        <w:rPr>
          <w:sz w:val="20"/>
          <w:szCs w:val="20"/>
          <w:lang w:val="bg-BG"/>
        </w:rPr>
        <w:t xml:space="preserve"> </w:t>
      </w:r>
      <w:r w:rsidRPr="00485152">
        <w:rPr>
          <w:i/>
          <w:sz w:val="20"/>
          <w:szCs w:val="20"/>
          <w:lang w:val="en-US"/>
        </w:rPr>
        <w:t>Garcia</w:t>
      </w:r>
      <w:r w:rsidRPr="00485152">
        <w:rPr>
          <w:i/>
          <w:sz w:val="20"/>
          <w:szCs w:val="20"/>
          <w:lang w:val="bg-BG"/>
        </w:rPr>
        <w:t xml:space="preserve"> </w:t>
      </w:r>
      <w:r w:rsidRPr="00485152">
        <w:rPr>
          <w:i/>
          <w:sz w:val="20"/>
          <w:szCs w:val="20"/>
          <w:lang w:val="en-US"/>
        </w:rPr>
        <w:t>and</w:t>
      </w:r>
      <w:r w:rsidRPr="00485152">
        <w:rPr>
          <w:i/>
          <w:sz w:val="20"/>
          <w:szCs w:val="20"/>
          <w:lang w:val="bg-BG"/>
        </w:rPr>
        <w:t xml:space="preserve"> </w:t>
      </w:r>
      <w:r w:rsidRPr="00485152">
        <w:rPr>
          <w:i/>
          <w:sz w:val="20"/>
          <w:szCs w:val="20"/>
          <w:lang w:val="en-US"/>
        </w:rPr>
        <w:t>family</w:t>
      </w:r>
      <w:r w:rsidRPr="00485152">
        <w:rPr>
          <w:i/>
          <w:sz w:val="20"/>
          <w:szCs w:val="20"/>
          <w:lang w:val="bg-BG"/>
        </w:rPr>
        <w:t xml:space="preserve"> </w:t>
      </w:r>
      <w:r w:rsidRPr="00485152">
        <w:rPr>
          <w:i/>
          <w:sz w:val="20"/>
          <w:szCs w:val="20"/>
          <w:lang w:val="en-US"/>
        </w:rPr>
        <w:t>members</w:t>
      </w:r>
      <w:r w:rsidRPr="00485152">
        <w:rPr>
          <w:i/>
          <w:sz w:val="20"/>
          <w:szCs w:val="20"/>
          <w:lang w:val="bg-BG"/>
        </w:rPr>
        <w:t xml:space="preserve"> </w:t>
      </w:r>
      <w:r w:rsidRPr="00485152">
        <w:rPr>
          <w:i/>
          <w:sz w:val="20"/>
          <w:szCs w:val="20"/>
          <w:lang w:val="en-US"/>
        </w:rPr>
        <w:t>v</w:t>
      </w:r>
      <w:r w:rsidRPr="00485152">
        <w:rPr>
          <w:i/>
          <w:sz w:val="20"/>
          <w:szCs w:val="20"/>
          <w:lang w:val="bg-BG"/>
        </w:rPr>
        <w:t xml:space="preserve">. </w:t>
      </w:r>
      <w:r w:rsidRPr="00485152">
        <w:rPr>
          <w:i/>
          <w:sz w:val="20"/>
          <w:szCs w:val="20"/>
          <w:lang w:val="en-US"/>
        </w:rPr>
        <w:t>Guatemala</w:t>
      </w:r>
      <w:r w:rsidRPr="00485152">
        <w:rPr>
          <w:i/>
          <w:sz w:val="20"/>
          <w:szCs w:val="20"/>
          <w:lang w:val="bg-BG"/>
        </w:rPr>
        <w:t xml:space="preserve">, </w:t>
      </w:r>
      <w:r w:rsidRPr="00485152">
        <w:rPr>
          <w:sz w:val="20"/>
          <w:szCs w:val="20"/>
          <w:lang w:val="en-US"/>
        </w:rPr>
        <w:t>IACtHR</w:t>
      </w:r>
      <w:r w:rsidRPr="00485152">
        <w:rPr>
          <w:sz w:val="20"/>
          <w:szCs w:val="20"/>
          <w:lang w:val="bg-BG"/>
        </w:rPr>
        <w:t xml:space="preserve">, 29 </w:t>
      </w:r>
      <w:r w:rsidRPr="00485152">
        <w:rPr>
          <w:sz w:val="20"/>
          <w:szCs w:val="20"/>
          <w:lang w:val="en-US"/>
        </w:rPr>
        <w:t>November</w:t>
      </w:r>
      <w:r w:rsidRPr="00485152">
        <w:rPr>
          <w:sz w:val="20"/>
          <w:szCs w:val="20"/>
          <w:lang w:val="bg-BG"/>
        </w:rPr>
        <w:t xml:space="preserve"> 2012, </w:t>
      </w:r>
      <w:r w:rsidRPr="00485152">
        <w:rPr>
          <w:rFonts w:asciiTheme="majorBidi" w:hAnsiTheme="majorBidi" w:cstheme="majorBidi"/>
          <w:sz w:val="20"/>
          <w:szCs w:val="20"/>
          <w:lang w:val="bg-BG"/>
        </w:rPr>
        <w:t>§107;</w:t>
      </w:r>
      <w:r w:rsidRPr="00485152">
        <w:rPr>
          <w:sz w:val="20"/>
          <w:szCs w:val="20"/>
          <w:lang w:val="bg-BG"/>
        </w:rPr>
        <w:t xml:space="preserve"> </w:t>
      </w:r>
      <w:r w:rsidRPr="00485152">
        <w:rPr>
          <w:i/>
          <w:sz w:val="20"/>
          <w:szCs w:val="20"/>
          <w:lang w:val="en-US"/>
        </w:rPr>
        <w:t>Velasquez</w:t>
      </w:r>
      <w:r w:rsidRPr="00485152">
        <w:rPr>
          <w:i/>
          <w:sz w:val="20"/>
          <w:szCs w:val="20"/>
          <w:lang w:val="bg-BG"/>
        </w:rPr>
        <w:t xml:space="preserve"> </w:t>
      </w:r>
      <w:r w:rsidRPr="00485152">
        <w:rPr>
          <w:i/>
          <w:sz w:val="20"/>
          <w:szCs w:val="20"/>
          <w:lang w:val="en-US"/>
        </w:rPr>
        <w:t>Rodriguez</w:t>
      </w:r>
      <w:r w:rsidRPr="00485152">
        <w:rPr>
          <w:i/>
          <w:sz w:val="20"/>
          <w:szCs w:val="20"/>
          <w:lang w:val="bg-BG"/>
        </w:rPr>
        <w:t xml:space="preserve"> </w:t>
      </w:r>
      <w:r w:rsidRPr="00485152">
        <w:rPr>
          <w:i/>
          <w:sz w:val="20"/>
          <w:szCs w:val="20"/>
          <w:lang w:val="en-US"/>
        </w:rPr>
        <w:t>v</w:t>
      </w:r>
      <w:r w:rsidRPr="00485152">
        <w:rPr>
          <w:i/>
          <w:sz w:val="20"/>
          <w:szCs w:val="20"/>
          <w:lang w:val="bg-BG"/>
        </w:rPr>
        <w:t xml:space="preserve">. </w:t>
      </w:r>
      <w:r w:rsidRPr="00485152">
        <w:rPr>
          <w:i/>
          <w:sz w:val="20"/>
          <w:szCs w:val="20"/>
          <w:lang w:val="en-US"/>
        </w:rPr>
        <w:t>Honduras</w:t>
      </w:r>
      <w:r w:rsidRPr="00485152">
        <w:rPr>
          <w:i/>
          <w:sz w:val="20"/>
          <w:szCs w:val="20"/>
          <w:lang w:val="bg-BG"/>
        </w:rPr>
        <w:t xml:space="preserve">, </w:t>
      </w:r>
      <w:r w:rsidRPr="00485152">
        <w:rPr>
          <w:sz w:val="20"/>
          <w:szCs w:val="20"/>
          <w:lang w:val="bg-BG"/>
        </w:rPr>
        <w:t xml:space="preserve">29 </w:t>
      </w:r>
      <w:r w:rsidRPr="00485152">
        <w:rPr>
          <w:sz w:val="20"/>
          <w:szCs w:val="20"/>
          <w:lang w:val="en-US"/>
        </w:rPr>
        <w:t>July</w:t>
      </w:r>
      <w:r w:rsidRPr="00485152">
        <w:rPr>
          <w:sz w:val="20"/>
          <w:szCs w:val="20"/>
          <w:lang w:val="bg-BG"/>
        </w:rPr>
        <w:t xml:space="preserve"> 1988, </w:t>
      </w:r>
      <w:r w:rsidRPr="00485152">
        <w:rPr>
          <w:rFonts w:asciiTheme="majorBidi" w:hAnsiTheme="majorBidi" w:cstheme="majorBidi"/>
          <w:sz w:val="20"/>
          <w:szCs w:val="20"/>
          <w:lang w:val="bg-BG"/>
        </w:rPr>
        <w:t>§157.</w:t>
      </w:r>
    </w:p>
  </w:footnote>
  <w:footnote w:id="96">
    <w:p w14:paraId="187B15B5" w14:textId="544893DD" w:rsidR="003A1201" w:rsidRPr="00485152" w:rsidRDefault="003A1201" w:rsidP="000D1F78">
      <w:pPr>
        <w:pStyle w:val="FootnoteText"/>
        <w:numPr>
          <w:ilvl w:val="0"/>
          <w:numId w:val="0"/>
        </w:numPr>
        <w:rPr>
          <w:sz w:val="20"/>
          <w:szCs w:val="20"/>
          <w:lang w:val="bg-BG"/>
        </w:rPr>
      </w:pPr>
      <w:r w:rsidRPr="00485152">
        <w:rPr>
          <w:rStyle w:val="FootnoteReference"/>
          <w:sz w:val="20"/>
          <w:szCs w:val="20"/>
        </w:rPr>
        <w:footnoteRef/>
      </w:r>
      <w:r w:rsidRPr="00485152">
        <w:rPr>
          <w:sz w:val="20"/>
          <w:szCs w:val="20"/>
          <w:lang w:val="bg-BG"/>
        </w:rPr>
        <w:t xml:space="preserve"> </w:t>
      </w:r>
      <w:r w:rsidRPr="00485152">
        <w:rPr>
          <w:i/>
          <w:sz w:val="20"/>
          <w:szCs w:val="20"/>
        </w:rPr>
        <w:t>Anzualdo</w:t>
      </w:r>
      <w:r w:rsidRPr="00485152">
        <w:rPr>
          <w:i/>
          <w:sz w:val="20"/>
          <w:szCs w:val="20"/>
          <w:lang w:val="bg-BG"/>
        </w:rPr>
        <w:t xml:space="preserve"> </w:t>
      </w:r>
      <w:r w:rsidRPr="00485152">
        <w:rPr>
          <w:i/>
          <w:sz w:val="20"/>
          <w:szCs w:val="20"/>
        </w:rPr>
        <w:t>Castro</w:t>
      </w:r>
      <w:r w:rsidRPr="00485152">
        <w:rPr>
          <w:i/>
          <w:sz w:val="20"/>
          <w:szCs w:val="20"/>
          <w:lang w:val="bg-BG"/>
        </w:rPr>
        <w:t xml:space="preserve"> </w:t>
      </w:r>
      <w:r w:rsidRPr="00485152">
        <w:rPr>
          <w:i/>
          <w:sz w:val="20"/>
          <w:szCs w:val="20"/>
        </w:rPr>
        <w:t>v</w:t>
      </w:r>
      <w:r w:rsidRPr="00485152">
        <w:rPr>
          <w:i/>
          <w:sz w:val="20"/>
          <w:szCs w:val="20"/>
          <w:lang w:val="bg-BG"/>
        </w:rPr>
        <w:t xml:space="preserve">. </w:t>
      </w:r>
      <w:r w:rsidRPr="00485152">
        <w:rPr>
          <w:i/>
          <w:sz w:val="20"/>
          <w:szCs w:val="20"/>
        </w:rPr>
        <w:t>Peru</w:t>
      </w:r>
      <w:r w:rsidRPr="00485152">
        <w:rPr>
          <w:i/>
          <w:sz w:val="20"/>
          <w:szCs w:val="20"/>
          <w:lang w:val="bg-BG"/>
        </w:rPr>
        <w:t xml:space="preserve">, </w:t>
      </w:r>
      <w:r w:rsidRPr="00485152">
        <w:rPr>
          <w:sz w:val="20"/>
          <w:szCs w:val="20"/>
        </w:rPr>
        <w:t>IACtHR</w:t>
      </w:r>
      <w:r w:rsidRPr="00485152">
        <w:rPr>
          <w:sz w:val="20"/>
          <w:szCs w:val="20"/>
          <w:lang w:val="bg-BG"/>
        </w:rPr>
        <w:t xml:space="preserve">, 22 </w:t>
      </w:r>
      <w:r w:rsidRPr="00485152">
        <w:rPr>
          <w:sz w:val="20"/>
          <w:szCs w:val="20"/>
        </w:rPr>
        <w:t>September</w:t>
      </w:r>
      <w:r w:rsidRPr="00485152">
        <w:rPr>
          <w:sz w:val="20"/>
          <w:szCs w:val="20"/>
          <w:lang w:val="bg-BG"/>
        </w:rPr>
        <w:t xml:space="preserve"> 2009, §101.</w:t>
      </w:r>
    </w:p>
  </w:footnote>
  <w:footnote w:id="97">
    <w:p w14:paraId="44FC8E9B" w14:textId="287D088C" w:rsidR="003A1201" w:rsidRPr="00485152" w:rsidRDefault="003A1201" w:rsidP="000D1F78">
      <w:pPr>
        <w:pStyle w:val="FootnoteText"/>
        <w:numPr>
          <w:ilvl w:val="0"/>
          <w:numId w:val="0"/>
        </w:numPr>
        <w:rPr>
          <w:sz w:val="20"/>
          <w:szCs w:val="20"/>
          <w:lang w:val="bg-BG"/>
        </w:rPr>
      </w:pPr>
      <w:r w:rsidRPr="00485152">
        <w:rPr>
          <w:rStyle w:val="FootnoteReference"/>
          <w:sz w:val="20"/>
          <w:szCs w:val="20"/>
        </w:rPr>
        <w:footnoteRef/>
      </w:r>
      <w:r w:rsidRPr="00485152">
        <w:rPr>
          <w:sz w:val="20"/>
          <w:szCs w:val="20"/>
          <w:lang w:val="bg-BG"/>
        </w:rPr>
        <w:t xml:space="preserve"> </w:t>
      </w:r>
      <w:r w:rsidRPr="00EA796A">
        <w:rPr>
          <w:i/>
          <w:color w:val="000000" w:themeColor="text1"/>
          <w:sz w:val="20"/>
          <w:szCs w:val="20"/>
          <w:lang w:val="en-US"/>
        </w:rPr>
        <w:t>Anzualdo Castro v. Peru</w:t>
      </w:r>
      <w:r w:rsidRPr="00485152">
        <w:rPr>
          <w:i/>
          <w:color w:val="000000" w:themeColor="text1"/>
          <w:sz w:val="20"/>
          <w:szCs w:val="20"/>
          <w:lang w:val="bg-BG"/>
        </w:rPr>
        <w:t>,</w:t>
      </w:r>
      <w:r w:rsidRPr="00485152">
        <w:rPr>
          <w:color w:val="000000" w:themeColor="text1"/>
          <w:sz w:val="20"/>
          <w:szCs w:val="20"/>
          <w:lang w:val="bg-BG"/>
        </w:rPr>
        <w:t xml:space="preserve"> </w:t>
      </w:r>
      <w:r w:rsidRPr="00EA796A">
        <w:rPr>
          <w:color w:val="000000" w:themeColor="text1"/>
          <w:sz w:val="20"/>
          <w:szCs w:val="20"/>
          <w:lang w:val="en-US"/>
        </w:rPr>
        <w:t>IACtHR</w:t>
      </w:r>
      <w:r w:rsidRPr="00485152">
        <w:rPr>
          <w:color w:val="000000" w:themeColor="text1"/>
          <w:sz w:val="20"/>
          <w:szCs w:val="20"/>
          <w:lang w:val="bg-BG"/>
        </w:rPr>
        <w:t>, 22 September 2009</w:t>
      </w:r>
      <w:r w:rsidRPr="00485152">
        <w:rPr>
          <w:sz w:val="20"/>
          <w:szCs w:val="20"/>
          <w:lang w:val="bg-BG"/>
        </w:rPr>
        <w:t>, §92.</w:t>
      </w:r>
    </w:p>
  </w:footnote>
  <w:footnote w:id="98">
    <w:p w14:paraId="27F79F96" w14:textId="4DD90991"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w:t>
      </w:r>
      <w:r w:rsidRPr="00485152">
        <w:rPr>
          <w:i/>
          <w:sz w:val="20"/>
          <w:szCs w:val="20"/>
          <w:lang w:val="en-US"/>
        </w:rPr>
        <w:t>Declaration on the Protection of All Persons from Enforced Disappearance</w:t>
      </w:r>
      <w:r w:rsidRPr="00485152">
        <w:rPr>
          <w:sz w:val="20"/>
          <w:szCs w:val="20"/>
          <w:lang w:val="en-US"/>
        </w:rPr>
        <w:t xml:space="preserve">, UN General Assembly, </w:t>
      </w:r>
      <w:r w:rsidRPr="00485152">
        <w:rPr>
          <w:i/>
          <w:sz w:val="20"/>
          <w:szCs w:val="20"/>
          <w:lang w:val="en-US"/>
        </w:rPr>
        <w:t>A/RES/47/133</w:t>
      </w:r>
      <w:r w:rsidRPr="00485152">
        <w:rPr>
          <w:sz w:val="20"/>
          <w:szCs w:val="20"/>
          <w:lang w:val="en-US"/>
        </w:rPr>
        <w:t>, 18 December 1992; L. BURGORGUE-LARSEN &amp; A. UBEDA DE TORRES, The Inter-American Court of Human Rights, Oxford, Oxford University Press, 2011, p. 303.</w:t>
      </w:r>
    </w:p>
  </w:footnote>
  <w:footnote w:id="99">
    <w:p w14:paraId="61B1F7B6" w14:textId="5C8D5989" w:rsidR="003A1201" w:rsidRPr="00485152" w:rsidRDefault="003A1201" w:rsidP="000D1F78">
      <w:pPr>
        <w:pStyle w:val="FootnoteText"/>
        <w:numPr>
          <w:ilvl w:val="0"/>
          <w:numId w:val="0"/>
        </w:numPr>
        <w:rPr>
          <w:sz w:val="20"/>
          <w:szCs w:val="20"/>
          <w:lang w:val="it-IT"/>
        </w:rPr>
      </w:pPr>
      <w:r w:rsidRPr="00485152">
        <w:rPr>
          <w:rStyle w:val="FootnoteReference"/>
          <w:sz w:val="20"/>
          <w:szCs w:val="20"/>
        </w:rPr>
        <w:footnoteRef/>
      </w:r>
      <w:r w:rsidRPr="00485152">
        <w:rPr>
          <w:sz w:val="20"/>
          <w:szCs w:val="20"/>
          <w:lang w:val="it-IT"/>
        </w:rPr>
        <w:t xml:space="preserve"> </w:t>
      </w:r>
      <w:r w:rsidRPr="00485152">
        <w:rPr>
          <w:i/>
          <w:color w:val="000000" w:themeColor="text1"/>
          <w:sz w:val="20"/>
          <w:szCs w:val="20"/>
          <w:lang w:val="it-IT"/>
        </w:rPr>
        <w:t>Anzualdo Castro v. Peru,</w:t>
      </w:r>
      <w:r w:rsidRPr="00485152">
        <w:rPr>
          <w:color w:val="000000" w:themeColor="text1"/>
          <w:sz w:val="20"/>
          <w:szCs w:val="20"/>
          <w:lang w:val="it-IT"/>
        </w:rPr>
        <w:t xml:space="preserve"> IACtHR, 22 September 2009, Separate Opinion, </w:t>
      </w:r>
      <w:r w:rsidRPr="00485152">
        <w:rPr>
          <w:sz w:val="20"/>
          <w:szCs w:val="20"/>
          <w:lang w:val="it-IT"/>
        </w:rPr>
        <w:t>Judge Sergio Garcia Ramirez, §31</w:t>
      </w:r>
    </w:p>
  </w:footnote>
  <w:footnote w:id="100">
    <w:p w14:paraId="18824CD1" w14:textId="05BCD808"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C. MEDINA, </w:t>
      </w:r>
      <w:r w:rsidRPr="00485152">
        <w:rPr>
          <w:rFonts w:asciiTheme="majorBidi" w:hAnsiTheme="majorBidi" w:cstheme="majorBidi"/>
          <w:i/>
          <w:sz w:val="20"/>
          <w:szCs w:val="20"/>
          <w:lang w:val="en-US"/>
        </w:rPr>
        <w:t>The American Convention on Human Rights</w:t>
      </w:r>
      <w:r w:rsidRPr="00485152">
        <w:rPr>
          <w:rFonts w:asciiTheme="majorBidi" w:hAnsiTheme="majorBidi" w:cstheme="majorBidi"/>
          <w:sz w:val="20"/>
          <w:szCs w:val="20"/>
          <w:lang w:val="en-US"/>
        </w:rPr>
        <w:t>, Cambridge, Intersentia, 2014, p 10-11.</w:t>
      </w:r>
    </w:p>
  </w:footnote>
  <w:footnote w:id="101">
    <w:p w14:paraId="59C9A047" w14:textId="2F76809F"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i/>
          <w:sz w:val="20"/>
          <w:szCs w:val="20"/>
          <w:lang w:val="en-US"/>
        </w:rPr>
        <w:t>The case of the Massacres of El Mozote and Nearby Places v. El Salvador</w:t>
      </w:r>
      <w:r w:rsidRPr="00485152">
        <w:rPr>
          <w:rFonts w:asciiTheme="majorBidi" w:hAnsiTheme="majorBidi" w:cstheme="majorBidi"/>
          <w:sz w:val="20"/>
          <w:szCs w:val="20"/>
          <w:lang w:val="en-US"/>
        </w:rPr>
        <w:t>, IACtHR, 25 October 2012, § 283.</w:t>
      </w:r>
    </w:p>
  </w:footnote>
  <w:footnote w:id="102">
    <w:p w14:paraId="2716A008" w14:textId="2B3A425B"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i/>
          <w:sz w:val="20"/>
          <w:szCs w:val="20"/>
          <w:lang w:val="en-US"/>
        </w:rPr>
        <w:t>Gelman v. Uruguay</w:t>
      </w:r>
      <w:r w:rsidRPr="00485152">
        <w:rPr>
          <w:rFonts w:asciiTheme="majorBidi" w:hAnsiTheme="majorBidi" w:cstheme="majorBidi"/>
          <w:sz w:val="20"/>
          <w:szCs w:val="20"/>
          <w:lang w:val="en-US"/>
        </w:rPr>
        <w:t>, IACtHR, 24 February 2011, §183.</w:t>
      </w:r>
    </w:p>
  </w:footnote>
  <w:footnote w:id="103">
    <w:p w14:paraId="2A061D63" w14:textId="77777777" w:rsidR="003A1201" w:rsidRPr="00485152" w:rsidRDefault="003A1201" w:rsidP="000D1F78">
      <w:pPr>
        <w:pStyle w:val="FootnoteText"/>
        <w:numPr>
          <w:ilvl w:val="0"/>
          <w:numId w:val="0"/>
        </w:numPr>
        <w:rPr>
          <w:rFonts w:asciiTheme="majorBidi" w:hAnsiTheme="majorBidi" w:cstheme="majorBidi"/>
          <w:color w:val="000000" w:themeColor="text1"/>
          <w:sz w:val="20"/>
          <w:szCs w:val="20"/>
          <w:lang w:val="es-ES"/>
        </w:rPr>
      </w:pPr>
      <w:r w:rsidRPr="00485152">
        <w:rPr>
          <w:rStyle w:val="FootnoteReference"/>
          <w:rFonts w:asciiTheme="majorBidi" w:hAnsiTheme="majorBidi" w:cstheme="majorBidi"/>
          <w:color w:val="000000" w:themeColor="text1"/>
          <w:sz w:val="20"/>
          <w:szCs w:val="20"/>
        </w:rPr>
        <w:footnoteRef/>
      </w:r>
      <w:r w:rsidRPr="00485152">
        <w:rPr>
          <w:rFonts w:asciiTheme="majorBidi" w:hAnsiTheme="majorBidi" w:cstheme="majorBidi"/>
          <w:color w:val="000000" w:themeColor="text1"/>
          <w:sz w:val="20"/>
          <w:szCs w:val="20"/>
          <w:lang w:val="es-ES"/>
        </w:rPr>
        <w:t xml:space="preserve"> </w:t>
      </w:r>
      <w:r w:rsidRPr="00485152">
        <w:rPr>
          <w:rFonts w:asciiTheme="majorBidi" w:hAnsiTheme="majorBidi" w:cstheme="majorBidi"/>
          <w:i/>
          <w:color w:val="000000" w:themeColor="text1"/>
          <w:sz w:val="20"/>
          <w:szCs w:val="20"/>
          <w:lang w:val="es-ES"/>
        </w:rPr>
        <w:t xml:space="preserve">Velasquez Rodriguez v. Honduras, </w:t>
      </w:r>
      <w:r w:rsidRPr="00485152">
        <w:rPr>
          <w:rFonts w:asciiTheme="majorBidi" w:hAnsiTheme="majorBidi" w:cstheme="majorBidi"/>
          <w:color w:val="000000" w:themeColor="text1"/>
          <w:sz w:val="20"/>
          <w:szCs w:val="20"/>
          <w:lang w:val="es-ES"/>
        </w:rPr>
        <w:t>IACtHR, 29 July 1988, §177</w:t>
      </w:r>
      <w:r w:rsidRPr="00485152">
        <w:rPr>
          <w:rFonts w:asciiTheme="majorBidi" w:hAnsiTheme="majorBidi" w:cstheme="majorBidi"/>
          <w:i/>
          <w:color w:val="000000" w:themeColor="text1"/>
          <w:sz w:val="20"/>
          <w:szCs w:val="20"/>
          <w:lang w:val="es-ES"/>
        </w:rPr>
        <w:t>.</w:t>
      </w:r>
    </w:p>
  </w:footnote>
  <w:footnote w:id="104">
    <w:p w14:paraId="47A22792" w14:textId="23D00F05"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i/>
          <w:sz w:val="20"/>
          <w:szCs w:val="20"/>
          <w:lang w:val="en-US"/>
        </w:rPr>
        <w:t>Gelman v. Uruguay</w:t>
      </w:r>
      <w:r w:rsidRPr="00485152">
        <w:rPr>
          <w:rFonts w:asciiTheme="majorBidi" w:hAnsiTheme="majorBidi" w:cstheme="majorBidi"/>
          <w:sz w:val="20"/>
          <w:szCs w:val="20"/>
          <w:lang w:val="en-US"/>
        </w:rPr>
        <w:t>, IACtHR, 24 February 2011, §184.</w:t>
      </w:r>
    </w:p>
  </w:footnote>
  <w:footnote w:id="105">
    <w:p w14:paraId="32D4E641" w14:textId="2EEF7F08"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Clarification Questions, no.32.</w:t>
      </w:r>
    </w:p>
  </w:footnote>
  <w:footnote w:id="106">
    <w:p w14:paraId="2C9219C4" w14:textId="3ABFC57C"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p.9, §47.</w:t>
      </w:r>
    </w:p>
  </w:footnote>
  <w:footnote w:id="107">
    <w:p w14:paraId="7BF338FC" w14:textId="35F7276F"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i/>
          <w:sz w:val="20"/>
          <w:szCs w:val="20"/>
          <w:lang w:val="en-US"/>
        </w:rPr>
        <w:t>Anzualdo Castro v. Peru</w:t>
      </w:r>
      <w:r w:rsidRPr="00485152">
        <w:rPr>
          <w:rFonts w:asciiTheme="majorBidi" w:hAnsiTheme="majorBidi" w:cstheme="majorBidi"/>
          <w:sz w:val="20"/>
          <w:szCs w:val="20"/>
          <w:lang w:val="en-US"/>
        </w:rPr>
        <w:t xml:space="preserve">, IACtHR, 22 September 2009, §66; </w:t>
      </w:r>
      <w:r w:rsidRPr="00485152">
        <w:rPr>
          <w:rFonts w:asciiTheme="majorBidi" w:hAnsiTheme="majorBidi" w:cstheme="majorBidi"/>
          <w:bCs/>
          <w:i/>
          <w:iCs/>
          <w:sz w:val="20"/>
          <w:szCs w:val="20"/>
          <w:lang w:val="en-US"/>
        </w:rPr>
        <w:t>Case of Gómez-Palomino v. Peru</w:t>
      </w:r>
      <w:r w:rsidRPr="00485152">
        <w:rPr>
          <w:rFonts w:asciiTheme="majorBidi" w:hAnsiTheme="majorBidi" w:cstheme="majorBidi"/>
          <w:sz w:val="20"/>
          <w:szCs w:val="20"/>
          <w:lang w:val="en-US"/>
        </w:rPr>
        <w:t xml:space="preserve">, </w:t>
      </w:r>
      <w:r w:rsidRPr="00485152">
        <w:rPr>
          <w:rFonts w:asciiTheme="majorBidi" w:hAnsiTheme="majorBidi" w:cstheme="majorBidi"/>
          <w:sz w:val="20"/>
          <w:szCs w:val="20"/>
          <w:lang w:val="en-GB"/>
        </w:rPr>
        <w:t xml:space="preserve">IACtHR, 22 </w:t>
      </w:r>
      <w:r w:rsidRPr="00485152">
        <w:rPr>
          <w:rFonts w:asciiTheme="majorBidi" w:hAnsiTheme="majorBidi" w:cstheme="majorBidi"/>
          <w:bCs/>
          <w:sz w:val="20"/>
          <w:szCs w:val="20"/>
          <w:lang w:val="en-US"/>
        </w:rPr>
        <w:t>November 2005, §149.</w:t>
      </w:r>
    </w:p>
  </w:footnote>
  <w:footnote w:id="108">
    <w:p w14:paraId="3CDE1202" w14:textId="345313CF"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Clarification Questions, no.7.</w:t>
      </w:r>
    </w:p>
  </w:footnote>
  <w:footnote w:id="109">
    <w:p w14:paraId="2E65B74F"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US"/>
        </w:rPr>
        <w:t xml:space="preserve"> Hypothetical, p.10, §52.</w:t>
      </w:r>
    </w:p>
  </w:footnote>
  <w:footnote w:id="110">
    <w:p w14:paraId="0F3630B6" w14:textId="77777777"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p.10, §51.</w:t>
      </w:r>
    </w:p>
  </w:footnote>
  <w:footnote w:id="111">
    <w:p w14:paraId="2CF775E2" w14:textId="06AC5B0E"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i/>
          <w:iCs/>
          <w:sz w:val="20"/>
          <w:szCs w:val="20"/>
          <w:lang w:val="en-US"/>
        </w:rPr>
        <w:t xml:space="preserve">Blake v. Guatemala, </w:t>
      </w:r>
      <w:r w:rsidRPr="00485152">
        <w:rPr>
          <w:rFonts w:asciiTheme="majorBidi" w:hAnsiTheme="majorBidi" w:cstheme="majorBidi"/>
          <w:sz w:val="20"/>
          <w:szCs w:val="20"/>
          <w:lang w:val="en-US"/>
        </w:rPr>
        <w:t xml:space="preserve">IACtHR, 22 January 1999, §§31-32; </w:t>
      </w:r>
      <w:r w:rsidRPr="00485152">
        <w:rPr>
          <w:rFonts w:asciiTheme="majorBidi" w:hAnsiTheme="majorBidi" w:cstheme="majorBidi"/>
          <w:i/>
          <w:iCs/>
          <w:sz w:val="20"/>
          <w:szCs w:val="20"/>
          <w:lang w:val="en-US"/>
        </w:rPr>
        <w:t xml:space="preserve">González et al. (“Cotton Field”) v. Mexico, </w:t>
      </w:r>
      <w:r w:rsidRPr="00485152">
        <w:rPr>
          <w:rFonts w:asciiTheme="majorBidi" w:hAnsiTheme="majorBidi" w:cstheme="majorBidi"/>
          <w:sz w:val="20"/>
          <w:szCs w:val="20"/>
          <w:lang w:val="en-US"/>
        </w:rPr>
        <w:t>IACtHR, 16 November 2009, §451.</w:t>
      </w:r>
    </w:p>
  </w:footnote>
  <w:footnote w:id="112">
    <w:p w14:paraId="2C7228AF" w14:textId="194FE446" w:rsidR="003A1201" w:rsidRPr="00EA796A" w:rsidRDefault="003A1201" w:rsidP="000D1F78">
      <w:pPr>
        <w:pStyle w:val="FootnoteText"/>
        <w:numPr>
          <w:ilvl w:val="0"/>
          <w:numId w:val="0"/>
        </w:numPr>
        <w:rPr>
          <w:sz w:val="20"/>
          <w:szCs w:val="20"/>
          <w:lang w:val="es-CO"/>
        </w:rPr>
      </w:pPr>
      <w:r w:rsidRPr="00485152">
        <w:rPr>
          <w:rStyle w:val="FootnoteReference"/>
          <w:sz w:val="20"/>
          <w:szCs w:val="20"/>
        </w:rPr>
        <w:footnoteRef/>
      </w:r>
      <w:r w:rsidRPr="00EA796A">
        <w:rPr>
          <w:sz w:val="20"/>
          <w:szCs w:val="20"/>
          <w:lang w:val="es-CO"/>
        </w:rPr>
        <w:t xml:space="preserve"> Hypothetical, p.10, </w:t>
      </w:r>
      <w:r w:rsidRPr="00EA796A">
        <w:rPr>
          <w:rFonts w:asciiTheme="majorBidi" w:hAnsiTheme="majorBidi" w:cstheme="majorBidi"/>
          <w:sz w:val="20"/>
          <w:szCs w:val="20"/>
          <w:lang w:val="es-CO"/>
        </w:rPr>
        <w:t>§51.</w:t>
      </w:r>
    </w:p>
  </w:footnote>
  <w:footnote w:id="113">
    <w:p w14:paraId="328F834A" w14:textId="77777777" w:rsidR="003A1201" w:rsidRPr="00EA796A" w:rsidRDefault="003A1201" w:rsidP="000D1F78">
      <w:pPr>
        <w:pStyle w:val="FootnoteText"/>
        <w:numPr>
          <w:ilvl w:val="0"/>
          <w:numId w:val="0"/>
        </w:numPr>
        <w:rPr>
          <w:sz w:val="20"/>
          <w:szCs w:val="20"/>
          <w:lang w:val="es-CO"/>
        </w:rPr>
      </w:pPr>
      <w:r w:rsidRPr="00485152">
        <w:rPr>
          <w:rStyle w:val="FootnoteReference"/>
          <w:sz w:val="20"/>
          <w:szCs w:val="20"/>
        </w:rPr>
        <w:footnoteRef/>
      </w:r>
      <w:r w:rsidRPr="00EA796A">
        <w:rPr>
          <w:sz w:val="20"/>
          <w:szCs w:val="20"/>
          <w:lang w:val="es-CO"/>
        </w:rPr>
        <w:t xml:space="preserve"> Hypothetical, p.10, §51.</w:t>
      </w:r>
    </w:p>
  </w:footnote>
  <w:footnote w:id="114">
    <w:p w14:paraId="46AC6CD3" w14:textId="6F978514" w:rsidR="003A1201" w:rsidRPr="00485152" w:rsidRDefault="003A1201" w:rsidP="000D1F78">
      <w:pPr>
        <w:pStyle w:val="FootnoteText"/>
        <w:keepLines/>
        <w:numPr>
          <w:ilvl w:val="0"/>
          <w:numId w:val="0"/>
        </w:numPr>
        <w:contextualSpacing/>
        <w:rPr>
          <w:rFonts w:asciiTheme="majorBidi" w:hAnsiTheme="majorBidi" w:cstheme="majorBidi"/>
          <w:sz w:val="20"/>
          <w:szCs w:val="20"/>
          <w:lang w:val="es-ES"/>
        </w:rPr>
      </w:pPr>
      <w:r w:rsidRPr="00485152">
        <w:rPr>
          <w:rStyle w:val="FootnoteReference"/>
          <w:rFonts w:asciiTheme="majorBidi" w:hAnsiTheme="majorBidi"/>
          <w:sz w:val="20"/>
          <w:szCs w:val="20"/>
          <w:lang w:val="en-GB"/>
        </w:rPr>
        <w:footnoteRef/>
      </w:r>
      <w:r w:rsidRPr="00485152">
        <w:rPr>
          <w:rFonts w:asciiTheme="majorBidi" w:hAnsiTheme="majorBidi" w:cstheme="majorBidi"/>
          <w:sz w:val="20"/>
          <w:szCs w:val="20"/>
          <w:lang w:val="es-ES"/>
        </w:rPr>
        <w:t xml:space="preserve"> </w:t>
      </w:r>
      <w:r w:rsidRPr="00485152">
        <w:rPr>
          <w:rFonts w:asciiTheme="majorBidi" w:hAnsiTheme="majorBidi" w:cstheme="majorBidi"/>
          <w:i/>
          <w:sz w:val="20"/>
          <w:szCs w:val="20"/>
          <w:lang w:val="es-ES"/>
        </w:rPr>
        <w:t>El Amparo v. Venezuela</w:t>
      </w:r>
      <w:r w:rsidRPr="00485152">
        <w:rPr>
          <w:rFonts w:asciiTheme="majorBidi" w:hAnsiTheme="majorBidi" w:cstheme="majorBidi"/>
          <w:sz w:val="20"/>
          <w:szCs w:val="20"/>
          <w:lang w:val="es-ES"/>
        </w:rPr>
        <w:t>, IACtHR, 14 September 1996, §28.</w:t>
      </w:r>
    </w:p>
  </w:footnote>
  <w:footnote w:id="115">
    <w:p w14:paraId="5FD7A44E" w14:textId="6F58C14E" w:rsidR="003A1201" w:rsidRPr="00485152" w:rsidRDefault="003A1201" w:rsidP="000D1F78">
      <w:pPr>
        <w:pStyle w:val="FootnoteText"/>
        <w:keepLines/>
        <w:numPr>
          <w:ilvl w:val="0"/>
          <w:numId w:val="0"/>
        </w:numPr>
        <w:contextualSpacing/>
        <w:rPr>
          <w:rFonts w:asciiTheme="majorBidi" w:hAnsiTheme="majorBidi" w:cstheme="majorBidi"/>
          <w:sz w:val="20"/>
          <w:szCs w:val="20"/>
          <w:lang w:val="es-ES"/>
        </w:rPr>
      </w:pPr>
      <w:r w:rsidRPr="00485152">
        <w:rPr>
          <w:rStyle w:val="FootnoteReference"/>
          <w:rFonts w:asciiTheme="majorBidi" w:hAnsiTheme="majorBidi"/>
          <w:sz w:val="20"/>
          <w:szCs w:val="20"/>
          <w:lang w:val="en-GB"/>
        </w:rPr>
        <w:footnoteRef/>
      </w:r>
      <w:r w:rsidRPr="00485152">
        <w:rPr>
          <w:rFonts w:asciiTheme="majorBidi" w:hAnsiTheme="majorBidi" w:cstheme="majorBidi"/>
          <w:sz w:val="20"/>
          <w:szCs w:val="20"/>
          <w:lang w:val="es-ES"/>
        </w:rPr>
        <w:t xml:space="preserve"> </w:t>
      </w:r>
      <w:r w:rsidRPr="00485152">
        <w:rPr>
          <w:rFonts w:asciiTheme="majorBidi" w:hAnsiTheme="majorBidi" w:cstheme="majorBidi"/>
          <w:i/>
          <w:sz w:val="20"/>
          <w:szCs w:val="20"/>
          <w:lang w:val="es-ES"/>
        </w:rPr>
        <w:t>La Cantuta v Peru</w:t>
      </w:r>
      <w:r w:rsidRPr="00485152">
        <w:rPr>
          <w:rFonts w:asciiTheme="majorBidi" w:hAnsiTheme="majorBidi" w:cstheme="majorBidi"/>
          <w:sz w:val="20"/>
          <w:szCs w:val="20"/>
          <w:lang w:val="es-ES"/>
        </w:rPr>
        <w:t>, IACtHR, 29 November 2006, §202.</w:t>
      </w:r>
    </w:p>
  </w:footnote>
  <w:footnote w:id="116">
    <w:p w14:paraId="6EC73361" w14:textId="0718B181" w:rsidR="003A1201" w:rsidRPr="00485152" w:rsidRDefault="003A1201" w:rsidP="000D1F78">
      <w:pPr>
        <w:pStyle w:val="FootnoteText"/>
        <w:keepLines/>
        <w:numPr>
          <w:ilvl w:val="0"/>
          <w:numId w:val="0"/>
        </w:numPr>
        <w:contextualSpacing/>
        <w:rPr>
          <w:rFonts w:asciiTheme="majorBidi" w:hAnsiTheme="majorBidi" w:cstheme="majorBidi"/>
          <w:sz w:val="20"/>
          <w:szCs w:val="20"/>
          <w:lang w:val="es-ES"/>
        </w:rPr>
      </w:pPr>
      <w:r w:rsidRPr="00485152">
        <w:rPr>
          <w:rStyle w:val="FootnoteReference"/>
          <w:rFonts w:asciiTheme="majorBidi" w:hAnsiTheme="majorBidi"/>
          <w:sz w:val="20"/>
          <w:szCs w:val="20"/>
          <w:lang w:val="en-GB"/>
        </w:rPr>
        <w:footnoteRef/>
      </w:r>
      <w:r w:rsidRPr="00485152">
        <w:rPr>
          <w:rFonts w:asciiTheme="majorBidi" w:hAnsiTheme="majorBidi" w:cstheme="majorBidi"/>
          <w:sz w:val="20"/>
          <w:szCs w:val="20"/>
          <w:lang w:val="es-ES"/>
        </w:rPr>
        <w:t xml:space="preserve"> </w:t>
      </w:r>
      <w:r w:rsidRPr="00485152">
        <w:rPr>
          <w:rFonts w:asciiTheme="majorBidi" w:hAnsiTheme="majorBidi" w:cstheme="majorBidi"/>
          <w:i/>
          <w:sz w:val="20"/>
          <w:szCs w:val="20"/>
          <w:lang w:val="es-ES"/>
        </w:rPr>
        <w:t>Nadege Dorzema et al v. Dominican Republic</w:t>
      </w:r>
      <w:r w:rsidRPr="00485152">
        <w:rPr>
          <w:rFonts w:asciiTheme="majorBidi" w:hAnsiTheme="majorBidi" w:cstheme="majorBidi"/>
          <w:sz w:val="20"/>
          <w:szCs w:val="20"/>
          <w:lang w:val="es-ES"/>
        </w:rPr>
        <w:t xml:space="preserve">, IACtHR, 24 October 2012, §288; </w:t>
      </w:r>
      <w:r w:rsidRPr="00485152">
        <w:rPr>
          <w:rFonts w:asciiTheme="majorBidi" w:hAnsiTheme="majorBidi" w:cstheme="majorBidi"/>
          <w:i/>
          <w:sz w:val="20"/>
          <w:szCs w:val="20"/>
          <w:lang w:val="es-ES"/>
        </w:rPr>
        <w:t>Gutiérrez and family v. Argentina</w:t>
      </w:r>
      <w:r w:rsidRPr="00485152">
        <w:rPr>
          <w:rFonts w:asciiTheme="majorBidi" w:hAnsiTheme="majorBidi" w:cstheme="majorBidi"/>
          <w:sz w:val="20"/>
          <w:szCs w:val="20"/>
          <w:lang w:val="es-ES"/>
        </w:rPr>
        <w:t xml:space="preserve">, IACtHR, 25 November 2013, §186; </w:t>
      </w:r>
      <w:r w:rsidRPr="00485152">
        <w:rPr>
          <w:rFonts w:asciiTheme="majorBidi" w:hAnsiTheme="majorBidi" w:cstheme="majorBidi"/>
          <w:i/>
          <w:sz w:val="20"/>
          <w:szCs w:val="20"/>
          <w:lang w:val="es-ES"/>
        </w:rPr>
        <w:t>Luna López v. Honduras</w:t>
      </w:r>
      <w:r w:rsidRPr="00485152">
        <w:rPr>
          <w:rFonts w:asciiTheme="majorBidi" w:hAnsiTheme="majorBidi" w:cstheme="majorBidi"/>
          <w:sz w:val="20"/>
          <w:szCs w:val="20"/>
          <w:lang w:val="es-ES"/>
        </w:rPr>
        <w:t>, IACtHR, 10 October 2013, §§255-256.</w:t>
      </w:r>
    </w:p>
  </w:footnote>
  <w:footnote w:id="117">
    <w:p w14:paraId="6B0AF16B" w14:textId="13039221" w:rsidR="003A1201" w:rsidRPr="00485152" w:rsidRDefault="003A1201" w:rsidP="000D1F78">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Hypothetical, p.10, §51.</w:t>
      </w:r>
    </w:p>
  </w:footnote>
  <w:footnote w:id="118">
    <w:p w14:paraId="4E01779C" w14:textId="140A2857" w:rsidR="003A1201" w:rsidRPr="00485152" w:rsidRDefault="003A1201" w:rsidP="00F5454B">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i/>
          <w:sz w:val="20"/>
          <w:szCs w:val="20"/>
          <w:lang w:val="en-US"/>
        </w:rPr>
        <w:t>Gómez-Palomino v. Peru,</w:t>
      </w:r>
      <w:r w:rsidRPr="00485152">
        <w:rPr>
          <w:sz w:val="20"/>
          <w:szCs w:val="20"/>
          <w:lang w:val="en-US"/>
        </w:rPr>
        <w:t xml:space="preserve"> IACtHR, 22 November 2005, §112.</w:t>
      </w:r>
    </w:p>
  </w:footnote>
  <w:footnote w:id="119">
    <w:p w14:paraId="152908C2" w14:textId="77777777" w:rsidR="003A1201" w:rsidRPr="00485152" w:rsidRDefault="003A1201" w:rsidP="002D2749">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w:t>
      </w:r>
      <w:r w:rsidRPr="00485152">
        <w:rPr>
          <w:bCs/>
          <w:i/>
          <w:sz w:val="20"/>
          <w:szCs w:val="20"/>
          <w:lang w:val="en-US" w:eastAsia="ja-JP"/>
        </w:rPr>
        <w:t>Juridical Condition and Rights of the Undocumented Migrants</w:t>
      </w:r>
      <w:r w:rsidRPr="00485152">
        <w:rPr>
          <w:bCs/>
          <w:sz w:val="20"/>
          <w:szCs w:val="20"/>
          <w:lang w:val="en-US" w:eastAsia="ja-JP"/>
        </w:rPr>
        <w:t xml:space="preserve"> (Advisory opinion</w:t>
      </w:r>
      <w:r w:rsidRPr="00485152">
        <w:rPr>
          <w:bCs/>
          <w:color w:val="F79646" w:themeColor="accent6"/>
          <w:sz w:val="20"/>
          <w:szCs w:val="20"/>
          <w:lang w:val="en-US" w:eastAsia="ja-JP"/>
        </w:rPr>
        <w:t xml:space="preserve"> </w:t>
      </w:r>
      <w:r w:rsidRPr="00485152">
        <w:rPr>
          <w:bCs/>
          <w:color w:val="000000" w:themeColor="text1"/>
          <w:sz w:val="20"/>
          <w:szCs w:val="20"/>
          <w:lang w:val="en-US" w:eastAsia="ja-JP"/>
        </w:rPr>
        <w:t>OC-18/03</w:t>
      </w:r>
      <w:r w:rsidRPr="00485152">
        <w:rPr>
          <w:bCs/>
          <w:sz w:val="20"/>
          <w:szCs w:val="20"/>
          <w:lang w:val="en-US" w:eastAsia="ja-JP"/>
        </w:rPr>
        <w:t>), IACtHR, Ser. A, No. 18 (17 September 2003)</w:t>
      </w:r>
      <w:r w:rsidRPr="00485152">
        <w:rPr>
          <w:sz w:val="20"/>
          <w:szCs w:val="20"/>
          <w:lang w:val="en-US"/>
        </w:rPr>
        <w:t>, §101.</w:t>
      </w:r>
    </w:p>
  </w:footnote>
  <w:footnote w:id="120">
    <w:p w14:paraId="6241C15B" w14:textId="77777777" w:rsidR="003A1201" w:rsidRPr="00EA796A" w:rsidRDefault="003A1201" w:rsidP="002D2749">
      <w:pPr>
        <w:pStyle w:val="FootnoteText"/>
        <w:numPr>
          <w:ilvl w:val="0"/>
          <w:numId w:val="0"/>
        </w:numPr>
        <w:rPr>
          <w:sz w:val="20"/>
          <w:szCs w:val="20"/>
          <w:lang w:val="en-US"/>
        </w:rPr>
      </w:pPr>
      <w:r w:rsidRPr="00485152">
        <w:rPr>
          <w:rStyle w:val="FootnoteReference"/>
          <w:sz w:val="20"/>
          <w:szCs w:val="20"/>
        </w:rPr>
        <w:footnoteRef/>
      </w:r>
      <w:r w:rsidRPr="00EA796A">
        <w:rPr>
          <w:sz w:val="20"/>
          <w:szCs w:val="20"/>
          <w:lang w:val="en-US"/>
        </w:rPr>
        <w:t xml:space="preserve"> </w:t>
      </w:r>
      <w:r w:rsidRPr="00EA796A">
        <w:rPr>
          <w:rFonts w:asciiTheme="majorBidi" w:hAnsiTheme="majorBidi" w:cstheme="majorBidi"/>
          <w:i/>
          <w:sz w:val="20"/>
          <w:szCs w:val="20"/>
          <w:lang w:val="en-US"/>
        </w:rPr>
        <w:t>Yatama v. Nicaragua</w:t>
      </w:r>
      <w:r w:rsidRPr="00EA796A">
        <w:rPr>
          <w:rFonts w:asciiTheme="majorBidi" w:hAnsiTheme="majorBidi" w:cstheme="majorBidi"/>
          <w:sz w:val="20"/>
          <w:szCs w:val="20"/>
          <w:lang w:val="en-US"/>
        </w:rPr>
        <w:t>, IACtHR, 23 June 2005, §§184-186</w:t>
      </w:r>
      <w:r w:rsidRPr="00EA796A">
        <w:rPr>
          <w:sz w:val="20"/>
          <w:szCs w:val="20"/>
          <w:lang w:val="en-US"/>
        </w:rPr>
        <w:t>.</w:t>
      </w:r>
    </w:p>
  </w:footnote>
  <w:footnote w:id="121">
    <w:p w14:paraId="0FA3B9D2" w14:textId="77777777" w:rsidR="003A1201" w:rsidRPr="00EA796A" w:rsidRDefault="003A1201" w:rsidP="002D2749">
      <w:pPr>
        <w:pStyle w:val="FootnoteText"/>
        <w:numPr>
          <w:ilvl w:val="0"/>
          <w:numId w:val="0"/>
        </w:numPr>
        <w:rPr>
          <w:sz w:val="20"/>
          <w:szCs w:val="20"/>
          <w:lang w:val="en-US"/>
        </w:rPr>
      </w:pPr>
      <w:r w:rsidRPr="00485152">
        <w:rPr>
          <w:rStyle w:val="FootnoteReference"/>
          <w:sz w:val="20"/>
          <w:szCs w:val="20"/>
        </w:rPr>
        <w:footnoteRef/>
      </w:r>
      <w:r w:rsidRPr="00EA796A">
        <w:rPr>
          <w:sz w:val="20"/>
          <w:szCs w:val="20"/>
          <w:lang w:val="en-US"/>
        </w:rPr>
        <w:t xml:space="preserve"> Hypothetical, p.7, §36.</w:t>
      </w:r>
    </w:p>
  </w:footnote>
  <w:footnote w:id="122">
    <w:p w14:paraId="00894B95" w14:textId="53D5FF92" w:rsidR="003A1201" w:rsidRPr="00EA796A" w:rsidRDefault="003A1201" w:rsidP="002D2749">
      <w:pPr>
        <w:pStyle w:val="FootnoteText"/>
        <w:numPr>
          <w:ilvl w:val="0"/>
          <w:numId w:val="0"/>
        </w:numPr>
        <w:rPr>
          <w:sz w:val="20"/>
          <w:szCs w:val="20"/>
          <w:lang w:val="en-US"/>
        </w:rPr>
      </w:pPr>
      <w:r w:rsidRPr="00485152">
        <w:rPr>
          <w:rStyle w:val="FootnoteReference"/>
          <w:sz w:val="20"/>
          <w:szCs w:val="20"/>
        </w:rPr>
        <w:footnoteRef/>
      </w:r>
      <w:r w:rsidRPr="00485152">
        <w:rPr>
          <w:sz w:val="20"/>
          <w:szCs w:val="20"/>
        </w:rPr>
        <w:t xml:space="preserve"> </w:t>
      </w:r>
      <w:r w:rsidRPr="00EA796A">
        <w:rPr>
          <w:sz w:val="20"/>
          <w:szCs w:val="20"/>
          <w:lang w:val="en-US"/>
        </w:rPr>
        <w:t>Hypothetical, p.4, §21 in conjunction with p.11, §53.</w:t>
      </w:r>
    </w:p>
  </w:footnote>
  <w:footnote w:id="123">
    <w:p w14:paraId="2E25542B" w14:textId="77777777" w:rsidR="003A1201" w:rsidRPr="00485152" w:rsidRDefault="003A1201" w:rsidP="002D2749">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EA796A">
        <w:rPr>
          <w:sz w:val="20"/>
          <w:szCs w:val="20"/>
          <w:lang w:val="en-US"/>
        </w:rPr>
        <w:t>Hypothetical, p.5, §23</w:t>
      </w:r>
      <w:r w:rsidRPr="00485152">
        <w:rPr>
          <w:sz w:val="20"/>
          <w:szCs w:val="20"/>
        </w:rPr>
        <w:t>.</w:t>
      </w:r>
    </w:p>
  </w:footnote>
  <w:footnote w:id="124">
    <w:p w14:paraId="691AC292" w14:textId="77777777" w:rsidR="003A1201" w:rsidRPr="00485152" w:rsidRDefault="003A1201" w:rsidP="002D2749">
      <w:pPr>
        <w:pStyle w:val="FootnoteText"/>
        <w:numPr>
          <w:ilvl w:val="0"/>
          <w:numId w:val="0"/>
        </w:numPr>
        <w:rPr>
          <w:sz w:val="20"/>
          <w:szCs w:val="20"/>
          <w:lang w:val="nl-BE"/>
        </w:rPr>
      </w:pPr>
      <w:r w:rsidRPr="00485152">
        <w:rPr>
          <w:rStyle w:val="FootnoteReference"/>
          <w:sz w:val="20"/>
          <w:szCs w:val="20"/>
        </w:rPr>
        <w:footnoteRef/>
      </w:r>
      <w:r w:rsidRPr="00485152">
        <w:rPr>
          <w:sz w:val="20"/>
          <w:szCs w:val="20"/>
        </w:rPr>
        <w:t xml:space="preserve"> </w:t>
      </w:r>
      <w:r w:rsidRPr="00EA796A">
        <w:rPr>
          <w:sz w:val="20"/>
          <w:szCs w:val="20"/>
          <w:lang w:val="en-US"/>
        </w:rPr>
        <w:t>Hypothetical, p.6, §28.</w:t>
      </w:r>
    </w:p>
  </w:footnote>
  <w:footnote w:id="125">
    <w:p w14:paraId="42A75549" w14:textId="77777777" w:rsidR="003A1201" w:rsidRPr="00485152" w:rsidRDefault="003A1201" w:rsidP="002D2749">
      <w:pPr>
        <w:pStyle w:val="FootnoteText"/>
        <w:numPr>
          <w:ilvl w:val="0"/>
          <w:numId w:val="0"/>
        </w:numPr>
        <w:rPr>
          <w:sz w:val="20"/>
          <w:szCs w:val="20"/>
          <w:lang w:val="nl-BE"/>
        </w:rPr>
      </w:pPr>
      <w:r w:rsidRPr="00485152">
        <w:rPr>
          <w:rStyle w:val="FootnoteReference"/>
          <w:sz w:val="20"/>
          <w:szCs w:val="20"/>
        </w:rPr>
        <w:footnoteRef/>
      </w:r>
      <w:r w:rsidRPr="00485152">
        <w:rPr>
          <w:sz w:val="20"/>
          <w:szCs w:val="20"/>
        </w:rPr>
        <w:t xml:space="preserve"> </w:t>
      </w:r>
      <w:r w:rsidRPr="00EA796A">
        <w:rPr>
          <w:color w:val="000000"/>
          <w:sz w:val="20"/>
          <w:szCs w:val="20"/>
          <w:lang w:val="en-US"/>
        </w:rPr>
        <w:t>Hypothetical p.9, §47.</w:t>
      </w:r>
    </w:p>
  </w:footnote>
  <w:footnote w:id="126">
    <w:p w14:paraId="61998127" w14:textId="26A926EF" w:rsidR="003A1201" w:rsidRPr="00EA796A" w:rsidRDefault="003A1201" w:rsidP="002D2749">
      <w:pPr>
        <w:pStyle w:val="FootnoteText"/>
        <w:numPr>
          <w:ilvl w:val="0"/>
          <w:numId w:val="0"/>
        </w:numPr>
        <w:rPr>
          <w:sz w:val="20"/>
          <w:szCs w:val="20"/>
          <w:lang w:val="es-CO"/>
        </w:rPr>
      </w:pPr>
      <w:r w:rsidRPr="00485152">
        <w:rPr>
          <w:rStyle w:val="FootnoteReference"/>
          <w:sz w:val="20"/>
          <w:szCs w:val="20"/>
        </w:rPr>
        <w:footnoteRef/>
      </w:r>
      <w:r w:rsidRPr="00EA796A">
        <w:rPr>
          <w:sz w:val="20"/>
          <w:szCs w:val="20"/>
          <w:lang w:val="es-CO"/>
        </w:rPr>
        <w:t xml:space="preserve"> </w:t>
      </w:r>
      <w:r w:rsidRPr="00EA796A">
        <w:rPr>
          <w:i/>
          <w:color w:val="000000"/>
          <w:sz w:val="20"/>
          <w:szCs w:val="20"/>
          <w:lang w:val="es-CO"/>
        </w:rPr>
        <w:t xml:space="preserve">Velasquez Rodriguez v. Honduras, </w:t>
      </w:r>
      <w:r w:rsidRPr="00EA796A">
        <w:rPr>
          <w:color w:val="000000"/>
          <w:sz w:val="20"/>
          <w:szCs w:val="20"/>
          <w:lang w:val="es-CO"/>
        </w:rPr>
        <w:t>IACtHR, 29 July 1988, §175</w:t>
      </w:r>
      <w:r w:rsidRPr="00EA796A">
        <w:rPr>
          <w:sz w:val="20"/>
          <w:szCs w:val="20"/>
          <w:lang w:val="es-CO"/>
        </w:rPr>
        <w:t>.</w:t>
      </w:r>
    </w:p>
  </w:footnote>
  <w:footnote w:id="127">
    <w:p w14:paraId="58FC941A" w14:textId="77777777" w:rsidR="003A1201" w:rsidRPr="00EA796A" w:rsidRDefault="003A1201" w:rsidP="002D2749">
      <w:pPr>
        <w:pStyle w:val="FootnoteText"/>
        <w:numPr>
          <w:ilvl w:val="0"/>
          <w:numId w:val="0"/>
        </w:numPr>
        <w:rPr>
          <w:sz w:val="20"/>
          <w:szCs w:val="20"/>
          <w:lang w:val="en-US"/>
        </w:rPr>
      </w:pPr>
      <w:r w:rsidRPr="00485152">
        <w:rPr>
          <w:rStyle w:val="FootnoteReference"/>
          <w:sz w:val="20"/>
          <w:szCs w:val="20"/>
        </w:rPr>
        <w:footnoteRef/>
      </w:r>
      <w:r w:rsidRPr="00EA796A">
        <w:rPr>
          <w:sz w:val="20"/>
          <w:szCs w:val="20"/>
          <w:lang w:val="en-US"/>
        </w:rPr>
        <w:t xml:space="preserve"> </w:t>
      </w:r>
      <w:r w:rsidRPr="00EA796A">
        <w:rPr>
          <w:rFonts w:asciiTheme="majorBidi" w:hAnsiTheme="majorBidi" w:cstheme="majorBidi"/>
          <w:i/>
          <w:sz w:val="20"/>
          <w:szCs w:val="20"/>
          <w:lang w:val="en-US"/>
        </w:rPr>
        <w:t>Convention concerning Indigenous and Tribal Peoples in Independent Countries</w:t>
      </w:r>
      <w:r w:rsidRPr="00EA796A">
        <w:rPr>
          <w:rFonts w:asciiTheme="majorBidi" w:hAnsiTheme="majorBidi" w:cstheme="majorBidi"/>
          <w:sz w:val="20"/>
          <w:szCs w:val="20"/>
          <w:lang w:val="en-US"/>
        </w:rPr>
        <w:t xml:space="preserve">, C169, ILO, 5 September 1991; </w:t>
      </w:r>
      <w:r w:rsidRPr="00EA796A">
        <w:rPr>
          <w:sz w:val="20"/>
          <w:szCs w:val="20"/>
          <w:lang w:val="en-US"/>
        </w:rPr>
        <w:t>Hypothetical, p.3, §13.</w:t>
      </w:r>
    </w:p>
  </w:footnote>
  <w:footnote w:id="128">
    <w:p w14:paraId="6CCA889A" w14:textId="77777777" w:rsidR="003A1201" w:rsidRPr="00EA796A" w:rsidRDefault="003A1201" w:rsidP="002D2749">
      <w:pPr>
        <w:pStyle w:val="FootnoteText"/>
        <w:numPr>
          <w:ilvl w:val="0"/>
          <w:numId w:val="0"/>
        </w:numPr>
        <w:rPr>
          <w:sz w:val="20"/>
          <w:szCs w:val="20"/>
          <w:lang w:val="en-US"/>
        </w:rPr>
      </w:pPr>
      <w:r w:rsidRPr="00485152">
        <w:rPr>
          <w:rStyle w:val="FootnoteReference"/>
          <w:sz w:val="20"/>
          <w:szCs w:val="20"/>
        </w:rPr>
        <w:footnoteRef/>
      </w:r>
      <w:r w:rsidRPr="00EA796A">
        <w:rPr>
          <w:sz w:val="20"/>
          <w:szCs w:val="20"/>
          <w:lang w:val="en-US"/>
        </w:rPr>
        <w:t xml:space="preserve"> Hypothetical, p.3, §14.</w:t>
      </w:r>
    </w:p>
  </w:footnote>
  <w:footnote w:id="129">
    <w:p w14:paraId="30E77003" w14:textId="51A7430F" w:rsidR="003A1201" w:rsidRPr="00485152" w:rsidRDefault="003A1201" w:rsidP="002D2749">
      <w:pPr>
        <w:pStyle w:val="FootnoteText"/>
        <w:numPr>
          <w:ilvl w:val="0"/>
          <w:numId w:val="0"/>
        </w:numPr>
        <w:rPr>
          <w:sz w:val="20"/>
          <w:szCs w:val="20"/>
          <w:lang w:val="nl-BE"/>
        </w:rPr>
      </w:pPr>
      <w:r w:rsidRPr="00485152">
        <w:rPr>
          <w:rStyle w:val="FootnoteReference"/>
          <w:sz w:val="20"/>
          <w:szCs w:val="20"/>
        </w:rPr>
        <w:footnoteRef/>
      </w:r>
      <w:r w:rsidRPr="00485152">
        <w:rPr>
          <w:sz w:val="20"/>
          <w:szCs w:val="20"/>
        </w:rPr>
        <w:t xml:space="preserve"> </w:t>
      </w:r>
      <w:r w:rsidRPr="00EA796A">
        <w:rPr>
          <w:sz w:val="20"/>
          <w:szCs w:val="20"/>
          <w:lang w:val="en-US"/>
        </w:rPr>
        <w:t>Hypothetical, p.3, §§16-17.</w:t>
      </w:r>
    </w:p>
  </w:footnote>
  <w:footnote w:id="130">
    <w:p w14:paraId="39C0E481" w14:textId="44E92379" w:rsidR="003A1201" w:rsidRPr="00485152" w:rsidRDefault="003A1201" w:rsidP="002D2749">
      <w:pPr>
        <w:pStyle w:val="FootnoteText"/>
        <w:numPr>
          <w:ilvl w:val="0"/>
          <w:numId w:val="0"/>
        </w:numPr>
        <w:rPr>
          <w:sz w:val="20"/>
          <w:szCs w:val="20"/>
          <w:lang w:val="nl-BE"/>
        </w:rPr>
      </w:pPr>
      <w:r w:rsidRPr="00485152">
        <w:rPr>
          <w:rStyle w:val="FootnoteReference"/>
          <w:sz w:val="20"/>
          <w:szCs w:val="20"/>
        </w:rPr>
        <w:footnoteRef/>
      </w:r>
      <w:r w:rsidRPr="00485152">
        <w:rPr>
          <w:sz w:val="20"/>
          <w:szCs w:val="20"/>
        </w:rPr>
        <w:t xml:space="preserve"> </w:t>
      </w:r>
      <w:r w:rsidRPr="00EA796A">
        <w:rPr>
          <w:sz w:val="20"/>
          <w:szCs w:val="20"/>
          <w:lang w:val="en-US"/>
        </w:rPr>
        <w:t>Hypothetical, p.8, §43.</w:t>
      </w:r>
    </w:p>
  </w:footnote>
  <w:footnote w:id="131">
    <w:p w14:paraId="380AF24B" w14:textId="77777777" w:rsidR="003A1201" w:rsidRPr="00EA796A" w:rsidRDefault="003A1201" w:rsidP="002D2749">
      <w:pPr>
        <w:pStyle w:val="FootnoteText"/>
        <w:numPr>
          <w:ilvl w:val="0"/>
          <w:numId w:val="0"/>
        </w:numPr>
        <w:rPr>
          <w:sz w:val="20"/>
          <w:szCs w:val="20"/>
          <w:lang w:val="nl-BE"/>
        </w:rPr>
      </w:pPr>
      <w:r w:rsidRPr="00485152">
        <w:rPr>
          <w:rStyle w:val="FootnoteReference"/>
          <w:sz w:val="20"/>
          <w:szCs w:val="20"/>
        </w:rPr>
        <w:footnoteRef/>
      </w:r>
      <w:r w:rsidRPr="00EA796A">
        <w:rPr>
          <w:sz w:val="20"/>
          <w:szCs w:val="20"/>
          <w:lang w:val="nl-BE"/>
        </w:rPr>
        <w:t xml:space="preserve"> </w:t>
      </w:r>
      <w:r w:rsidRPr="00EA796A">
        <w:rPr>
          <w:i/>
          <w:sz w:val="20"/>
          <w:szCs w:val="20"/>
          <w:lang w:val="nl-BE"/>
        </w:rPr>
        <w:t>Mayagna (Sumo) Awas Tingni Community v. Nicaragua</w:t>
      </w:r>
      <w:r w:rsidRPr="00EA796A">
        <w:rPr>
          <w:sz w:val="20"/>
          <w:szCs w:val="20"/>
          <w:lang w:val="nl-BE"/>
        </w:rPr>
        <w:t xml:space="preserve">, IACtHR, 31 August 2001; </w:t>
      </w:r>
      <w:r w:rsidRPr="00EA796A">
        <w:rPr>
          <w:i/>
          <w:sz w:val="20"/>
          <w:szCs w:val="20"/>
          <w:lang w:val="nl-BE"/>
        </w:rPr>
        <w:t>Saramaka People v. Suriname</w:t>
      </w:r>
      <w:r w:rsidRPr="00EA796A">
        <w:rPr>
          <w:sz w:val="20"/>
          <w:szCs w:val="20"/>
          <w:lang w:val="nl-BE"/>
        </w:rPr>
        <w:t>, IACtHR, 28 November 2007.</w:t>
      </w:r>
    </w:p>
  </w:footnote>
  <w:footnote w:id="132">
    <w:p w14:paraId="16FE0163" w14:textId="77777777" w:rsidR="003A1201" w:rsidRPr="00EA796A" w:rsidRDefault="003A1201" w:rsidP="002D2749">
      <w:pPr>
        <w:pStyle w:val="FootnoteText"/>
        <w:numPr>
          <w:ilvl w:val="0"/>
          <w:numId w:val="0"/>
        </w:numPr>
        <w:rPr>
          <w:sz w:val="20"/>
          <w:szCs w:val="20"/>
          <w:lang w:val="nl-BE"/>
        </w:rPr>
      </w:pPr>
      <w:r w:rsidRPr="00485152">
        <w:rPr>
          <w:rStyle w:val="FootnoteReference"/>
          <w:sz w:val="20"/>
          <w:szCs w:val="20"/>
        </w:rPr>
        <w:footnoteRef/>
      </w:r>
      <w:r w:rsidRPr="00EA796A">
        <w:rPr>
          <w:sz w:val="20"/>
          <w:szCs w:val="20"/>
          <w:lang w:val="nl-BE"/>
        </w:rPr>
        <w:t xml:space="preserve"> </w:t>
      </w:r>
      <w:r w:rsidRPr="00EA796A">
        <w:rPr>
          <w:i/>
          <w:sz w:val="20"/>
          <w:szCs w:val="20"/>
          <w:lang w:val="nl-BE"/>
        </w:rPr>
        <w:t>Yatama v. Nicaragua</w:t>
      </w:r>
      <w:r w:rsidRPr="00EA796A">
        <w:rPr>
          <w:sz w:val="20"/>
          <w:szCs w:val="20"/>
          <w:lang w:val="nl-BE"/>
        </w:rPr>
        <w:t>, IACtHR, 23 June 2005, §225.</w:t>
      </w:r>
    </w:p>
  </w:footnote>
  <w:footnote w:id="133">
    <w:p w14:paraId="69688B89" w14:textId="77777777" w:rsidR="003A1201" w:rsidRPr="00EA796A" w:rsidRDefault="003A1201" w:rsidP="00076B2D">
      <w:pPr>
        <w:pStyle w:val="FootnoteText"/>
        <w:numPr>
          <w:ilvl w:val="0"/>
          <w:numId w:val="0"/>
        </w:numPr>
        <w:rPr>
          <w:sz w:val="20"/>
          <w:szCs w:val="20"/>
          <w:lang w:val="nl-BE"/>
        </w:rPr>
      </w:pPr>
      <w:r w:rsidRPr="00485152">
        <w:rPr>
          <w:rStyle w:val="FootnoteReference"/>
          <w:sz w:val="20"/>
          <w:szCs w:val="20"/>
        </w:rPr>
        <w:footnoteRef/>
      </w:r>
      <w:r w:rsidRPr="00EA796A">
        <w:rPr>
          <w:sz w:val="20"/>
          <w:szCs w:val="20"/>
          <w:lang w:val="nl-BE"/>
        </w:rPr>
        <w:t xml:space="preserve"> Preamble, ILO Convention No.169, 27 June 1989.</w:t>
      </w:r>
    </w:p>
  </w:footnote>
  <w:footnote w:id="134">
    <w:p w14:paraId="26BB989A" w14:textId="77777777" w:rsidR="003A1201" w:rsidRPr="00EA796A" w:rsidRDefault="003A1201" w:rsidP="000631AB">
      <w:pPr>
        <w:pStyle w:val="FootnoteText"/>
        <w:numPr>
          <w:ilvl w:val="0"/>
          <w:numId w:val="0"/>
        </w:numPr>
        <w:rPr>
          <w:sz w:val="20"/>
          <w:szCs w:val="20"/>
          <w:lang w:val="nl-BE"/>
        </w:rPr>
      </w:pPr>
      <w:r w:rsidRPr="00485152">
        <w:rPr>
          <w:rStyle w:val="FootnoteReference"/>
          <w:sz w:val="20"/>
          <w:szCs w:val="20"/>
        </w:rPr>
        <w:footnoteRef/>
      </w:r>
      <w:r w:rsidRPr="00EA796A">
        <w:rPr>
          <w:sz w:val="20"/>
          <w:szCs w:val="20"/>
          <w:lang w:val="nl-BE"/>
        </w:rPr>
        <w:t xml:space="preserve"> Clarification Questions, no.13.</w:t>
      </w:r>
    </w:p>
  </w:footnote>
  <w:footnote w:id="135">
    <w:p w14:paraId="2987FA26" w14:textId="3961A67E" w:rsidR="003A1201" w:rsidRPr="00485152" w:rsidRDefault="003A1201" w:rsidP="002D2749">
      <w:pPr>
        <w:pStyle w:val="FootnoteText"/>
        <w:numPr>
          <w:ilvl w:val="0"/>
          <w:numId w:val="0"/>
        </w:numPr>
        <w:rPr>
          <w:sz w:val="20"/>
          <w:szCs w:val="20"/>
          <w:lang w:val="fr-BE"/>
        </w:rPr>
      </w:pPr>
      <w:r w:rsidRPr="00485152">
        <w:rPr>
          <w:rStyle w:val="FootnoteReference"/>
          <w:sz w:val="20"/>
          <w:szCs w:val="20"/>
        </w:rPr>
        <w:footnoteRef/>
      </w:r>
      <w:r w:rsidRPr="00485152">
        <w:rPr>
          <w:sz w:val="20"/>
          <w:szCs w:val="20"/>
          <w:lang w:val="fr-BE"/>
        </w:rPr>
        <w:t xml:space="preserve"> Clarification Questions, no.60.</w:t>
      </w:r>
    </w:p>
  </w:footnote>
  <w:footnote w:id="136">
    <w:p w14:paraId="60944CB5" w14:textId="24697B8D" w:rsidR="003A1201" w:rsidRPr="00485152" w:rsidRDefault="003A1201" w:rsidP="002D2749">
      <w:pPr>
        <w:pStyle w:val="FootnoteText"/>
        <w:numPr>
          <w:ilvl w:val="0"/>
          <w:numId w:val="0"/>
        </w:numPr>
        <w:rPr>
          <w:sz w:val="20"/>
          <w:szCs w:val="20"/>
          <w:lang w:val="fr-BE"/>
        </w:rPr>
      </w:pPr>
      <w:r w:rsidRPr="00485152">
        <w:rPr>
          <w:rStyle w:val="FootnoteReference"/>
          <w:sz w:val="20"/>
          <w:szCs w:val="20"/>
        </w:rPr>
        <w:footnoteRef/>
      </w:r>
      <w:r w:rsidRPr="00485152">
        <w:rPr>
          <w:sz w:val="20"/>
          <w:szCs w:val="20"/>
          <w:lang w:val="fr-BE"/>
        </w:rPr>
        <w:t xml:space="preserve"> Clarification Questions, no.60.</w:t>
      </w:r>
    </w:p>
  </w:footnote>
  <w:footnote w:id="137">
    <w:p w14:paraId="344FB1D8" w14:textId="5F6DE570" w:rsidR="003A1201" w:rsidRPr="00EA796A" w:rsidRDefault="003A1201" w:rsidP="002D2749">
      <w:pPr>
        <w:pStyle w:val="FootnoteText"/>
        <w:numPr>
          <w:ilvl w:val="0"/>
          <w:numId w:val="0"/>
        </w:numPr>
        <w:rPr>
          <w:sz w:val="20"/>
          <w:szCs w:val="20"/>
          <w:lang w:val="nl-BE"/>
        </w:rPr>
      </w:pPr>
      <w:r w:rsidRPr="00485152">
        <w:rPr>
          <w:rStyle w:val="FootnoteReference"/>
          <w:sz w:val="20"/>
          <w:szCs w:val="20"/>
        </w:rPr>
        <w:footnoteRef/>
      </w:r>
      <w:r w:rsidRPr="00EA796A">
        <w:rPr>
          <w:sz w:val="20"/>
          <w:szCs w:val="20"/>
          <w:lang w:val="nl-BE"/>
        </w:rPr>
        <w:t xml:space="preserve"> Clarification Questions, no.52 and 60.</w:t>
      </w:r>
    </w:p>
  </w:footnote>
  <w:footnote w:id="138">
    <w:p w14:paraId="5C6081A5" w14:textId="4316DB43" w:rsidR="003A1201" w:rsidRPr="00EA796A" w:rsidRDefault="003A1201" w:rsidP="00A21AB3">
      <w:pPr>
        <w:pStyle w:val="FootnoteText"/>
        <w:numPr>
          <w:ilvl w:val="0"/>
          <w:numId w:val="0"/>
        </w:numPr>
        <w:rPr>
          <w:sz w:val="20"/>
          <w:szCs w:val="20"/>
          <w:lang w:val="nl-BE"/>
        </w:rPr>
      </w:pPr>
      <w:r w:rsidRPr="00485152">
        <w:rPr>
          <w:rStyle w:val="FootnoteReference"/>
          <w:sz w:val="20"/>
          <w:szCs w:val="20"/>
        </w:rPr>
        <w:footnoteRef/>
      </w:r>
      <w:r w:rsidRPr="00EA796A">
        <w:rPr>
          <w:sz w:val="20"/>
          <w:szCs w:val="20"/>
          <w:lang w:val="nl-BE"/>
        </w:rPr>
        <w:t xml:space="preserve"> Hypothetical, p.3, §12.</w:t>
      </w:r>
    </w:p>
  </w:footnote>
  <w:footnote w:id="139">
    <w:p w14:paraId="7D5A6E3B" w14:textId="041987CD" w:rsidR="003A1201" w:rsidRPr="00EA796A" w:rsidRDefault="003A1201" w:rsidP="00A21AB3">
      <w:pPr>
        <w:pStyle w:val="FootnoteText"/>
        <w:numPr>
          <w:ilvl w:val="0"/>
          <w:numId w:val="0"/>
        </w:numPr>
        <w:rPr>
          <w:iCs/>
          <w:sz w:val="20"/>
          <w:szCs w:val="20"/>
          <w:lang w:val="nl-BE"/>
        </w:rPr>
      </w:pPr>
      <w:r w:rsidRPr="00485152">
        <w:rPr>
          <w:rStyle w:val="FootnoteReference"/>
          <w:sz w:val="20"/>
          <w:szCs w:val="20"/>
        </w:rPr>
        <w:footnoteRef/>
      </w:r>
      <w:r w:rsidRPr="00EA796A">
        <w:rPr>
          <w:sz w:val="20"/>
          <w:szCs w:val="20"/>
          <w:lang w:val="nl-BE"/>
        </w:rPr>
        <w:t xml:space="preserve"> Hypothetical, p.3, §13; </w:t>
      </w:r>
      <w:r w:rsidRPr="00EA796A">
        <w:rPr>
          <w:i/>
          <w:iCs/>
          <w:sz w:val="20"/>
          <w:szCs w:val="20"/>
          <w:lang w:val="nl-BE"/>
        </w:rPr>
        <w:t>The Mayagna</w:t>
      </w:r>
      <w:r w:rsidRPr="00EA796A">
        <w:rPr>
          <w:sz w:val="20"/>
          <w:szCs w:val="20"/>
          <w:lang w:val="nl-BE"/>
        </w:rPr>
        <w:t xml:space="preserve"> </w:t>
      </w:r>
      <w:r w:rsidRPr="00EA796A">
        <w:rPr>
          <w:i/>
          <w:iCs/>
          <w:sz w:val="20"/>
          <w:szCs w:val="20"/>
          <w:lang w:val="nl-BE"/>
        </w:rPr>
        <w:t xml:space="preserve">(Sumo) Awas Tingi Community v. Nicaragua, </w:t>
      </w:r>
      <w:r w:rsidRPr="00EA796A">
        <w:rPr>
          <w:sz w:val="20"/>
          <w:szCs w:val="20"/>
          <w:lang w:val="nl-BE"/>
        </w:rPr>
        <w:t xml:space="preserve">IACtHR, 31 August 2001, operative paragraphs; </w:t>
      </w:r>
      <w:r w:rsidRPr="00EA796A">
        <w:rPr>
          <w:i/>
          <w:iCs/>
          <w:sz w:val="20"/>
          <w:szCs w:val="20"/>
          <w:lang w:val="nl-BE"/>
        </w:rPr>
        <w:t>Yakye Axa Indigenous Community v. Paraguay</w:t>
      </w:r>
      <w:r w:rsidRPr="00EA796A">
        <w:rPr>
          <w:iCs/>
          <w:sz w:val="20"/>
          <w:szCs w:val="20"/>
          <w:lang w:val="nl-BE"/>
        </w:rPr>
        <w:t>, IACtHR, 17 June 2005, §225</w:t>
      </w:r>
      <w:r w:rsidRPr="00EA796A">
        <w:rPr>
          <w:i/>
          <w:iCs/>
          <w:sz w:val="20"/>
          <w:szCs w:val="20"/>
          <w:lang w:val="nl-BE"/>
        </w:rPr>
        <w:t>; Saramaka People v. Suriname</w:t>
      </w:r>
      <w:r w:rsidRPr="00EA796A">
        <w:rPr>
          <w:iCs/>
          <w:sz w:val="20"/>
          <w:szCs w:val="20"/>
          <w:lang w:val="nl-BE"/>
        </w:rPr>
        <w:t xml:space="preserve">, </w:t>
      </w:r>
      <w:r w:rsidRPr="00EA796A">
        <w:rPr>
          <w:sz w:val="20"/>
          <w:szCs w:val="20"/>
          <w:lang w:val="nl-BE"/>
        </w:rPr>
        <w:t>IACtHR, 28 November 2007, §85.</w:t>
      </w:r>
    </w:p>
  </w:footnote>
  <w:footnote w:id="140">
    <w:p w14:paraId="1143BEBA" w14:textId="2B6DC618" w:rsidR="003A1201" w:rsidRPr="00485152" w:rsidRDefault="003A1201" w:rsidP="00A21AB3">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case, p. 8, §43; </w:t>
      </w:r>
      <w:r w:rsidRPr="00485152">
        <w:rPr>
          <w:i/>
          <w:iCs/>
          <w:sz w:val="20"/>
          <w:szCs w:val="20"/>
          <w:lang w:val="en-US"/>
        </w:rPr>
        <w:t xml:space="preserve">Massacre of Plan de Sánchez v. Guatemala, </w:t>
      </w:r>
      <w:r w:rsidRPr="00485152">
        <w:rPr>
          <w:iCs/>
          <w:sz w:val="20"/>
          <w:szCs w:val="20"/>
          <w:lang w:val="en-US"/>
        </w:rPr>
        <w:t>IACtHR</w:t>
      </w:r>
      <w:r w:rsidRPr="00485152">
        <w:rPr>
          <w:i/>
          <w:iCs/>
          <w:sz w:val="20"/>
          <w:szCs w:val="20"/>
          <w:lang w:val="en-US"/>
        </w:rPr>
        <w:t xml:space="preserve">, </w:t>
      </w:r>
      <w:r w:rsidRPr="00485152">
        <w:rPr>
          <w:iCs/>
          <w:sz w:val="20"/>
          <w:szCs w:val="20"/>
          <w:lang w:val="en-US"/>
        </w:rPr>
        <w:t>19 November 2004,</w:t>
      </w:r>
      <w:r w:rsidRPr="00485152">
        <w:rPr>
          <w:i/>
          <w:iCs/>
          <w:sz w:val="20"/>
          <w:szCs w:val="20"/>
          <w:lang w:val="en-US"/>
        </w:rPr>
        <w:t xml:space="preserve"> §101-102; Moiwana Community v. Suriname</w:t>
      </w:r>
      <w:r w:rsidRPr="00485152">
        <w:rPr>
          <w:iCs/>
          <w:sz w:val="20"/>
          <w:szCs w:val="20"/>
          <w:lang w:val="en-US"/>
        </w:rPr>
        <w:t>, IACtHR, 15 June 2005, §§209 and 210.</w:t>
      </w:r>
    </w:p>
  </w:footnote>
  <w:footnote w:id="141">
    <w:p w14:paraId="6EF8B19F" w14:textId="2B2AAEA2" w:rsidR="003A1201" w:rsidRPr="00485152" w:rsidRDefault="003A1201" w:rsidP="00A21AB3">
      <w:pPr>
        <w:pStyle w:val="FootnoteText"/>
        <w:numPr>
          <w:ilvl w:val="0"/>
          <w:numId w:val="0"/>
        </w:numPr>
        <w:rPr>
          <w:i/>
          <w:iCs/>
          <w:sz w:val="20"/>
          <w:szCs w:val="20"/>
          <w:lang w:val="en-US"/>
        </w:rPr>
      </w:pPr>
      <w:r w:rsidRPr="00485152">
        <w:rPr>
          <w:rStyle w:val="FootnoteReference"/>
          <w:sz w:val="20"/>
          <w:szCs w:val="20"/>
        </w:rPr>
        <w:footnoteRef/>
      </w:r>
      <w:r w:rsidRPr="00485152">
        <w:rPr>
          <w:sz w:val="20"/>
          <w:szCs w:val="20"/>
          <w:lang w:val="en-US"/>
        </w:rPr>
        <w:t xml:space="preserve"> Hypothetical, p.8, §43.</w:t>
      </w:r>
    </w:p>
  </w:footnote>
  <w:footnote w:id="142">
    <w:p w14:paraId="55C3089D" w14:textId="1CDB2191" w:rsidR="003A1201" w:rsidRPr="00485152" w:rsidRDefault="003A1201" w:rsidP="00A21AB3">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p.3, §§13-14. </w:t>
      </w:r>
    </w:p>
  </w:footnote>
  <w:footnote w:id="143">
    <w:p w14:paraId="636D6DBF" w14:textId="2DE21D9D" w:rsidR="003A1201" w:rsidRPr="00485152" w:rsidRDefault="003A1201" w:rsidP="000D1F78">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Hypothetical, p.8, §42.</w:t>
      </w:r>
    </w:p>
  </w:footnote>
  <w:footnote w:id="144">
    <w:p w14:paraId="78182FAB"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p.7, §36.</w:t>
      </w:r>
    </w:p>
  </w:footnote>
  <w:footnote w:id="145">
    <w:p w14:paraId="52E9B9EB" w14:textId="1F40E969" w:rsidR="003A1201" w:rsidRPr="00485152" w:rsidRDefault="003A1201" w:rsidP="000D1F78">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w:t>
      </w:r>
      <w:r w:rsidRPr="00485152">
        <w:rPr>
          <w:i/>
          <w:sz w:val="20"/>
          <w:szCs w:val="20"/>
          <w:lang w:val="en-GB"/>
        </w:rPr>
        <w:t xml:space="preserve">Velasquez-Rodriguez v. Honduras, </w:t>
      </w:r>
      <w:r w:rsidRPr="00485152">
        <w:rPr>
          <w:sz w:val="20"/>
          <w:szCs w:val="20"/>
          <w:lang w:val="en-GB"/>
        </w:rPr>
        <w:t xml:space="preserve">IACtHR, 21 July 1989, §25; </w:t>
      </w:r>
      <w:r w:rsidRPr="00485152">
        <w:rPr>
          <w:i/>
          <w:sz w:val="20"/>
          <w:szCs w:val="20"/>
          <w:lang w:val="en-GB"/>
        </w:rPr>
        <w:t xml:space="preserve">Acevedo-Jaramillo et al. v. Peru </w:t>
      </w:r>
      <w:r w:rsidRPr="00485152">
        <w:rPr>
          <w:sz w:val="20"/>
          <w:szCs w:val="20"/>
          <w:lang w:val="en-GB"/>
        </w:rPr>
        <w:t xml:space="preserve">(Interpretation), IACtHR, 24 November 2006, §66; </w:t>
      </w:r>
      <w:r w:rsidRPr="00485152">
        <w:rPr>
          <w:i/>
          <w:sz w:val="20"/>
          <w:szCs w:val="20"/>
          <w:lang w:val="en-GB"/>
        </w:rPr>
        <w:t xml:space="preserve">Bueno Alves v. Argentina, </w:t>
      </w:r>
      <w:r w:rsidRPr="00485152">
        <w:rPr>
          <w:sz w:val="20"/>
          <w:szCs w:val="20"/>
          <w:lang w:val="en-GB"/>
        </w:rPr>
        <w:t xml:space="preserve">IACtHR, 11 May 2007, §128; </w:t>
      </w:r>
      <w:r w:rsidRPr="00485152">
        <w:rPr>
          <w:i/>
          <w:sz w:val="20"/>
          <w:szCs w:val="20"/>
          <w:lang w:val="en-GB"/>
        </w:rPr>
        <w:t>Rochela Massacre v. Colombia</w:t>
      </w:r>
      <w:r w:rsidRPr="00485152">
        <w:rPr>
          <w:sz w:val="20"/>
          <w:szCs w:val="20"/>
          <w:lang w:val="en-GB"/>
        </w:rPr>
        <w:t>, IACtHR, 11 May 2007, §226;</w:t>
      </w:r>
      <w:r w:rsidRPr="00485152">
        <w:rPr>
          <w:i/>
          <w:sz w:val="20"/>
          <w:szCs w:val="20"/>
          <w:lang w:val="en-GB"/>
        </w:rPr>
        <w:t xml:space="preserve"> Zambrano Vélez et al. v. Ecuador</w:t>
      </w:r>
      <w:r w:rsidRPr="00485152">
        <w:rPr>
          <w:sz w:val="20"/>
          <w:szCs w:val="20"/>
          <w:lang w:val="en-GB"/>
        </w:rPr>
        <w:t xml:space="preserve">, IACtHR, 4 July 2007, §131; </w:t>
      </w:r>
      <w:r w:rsidRPr="00485152">
        <w:rPr>
          <w:i/>
          <w:sz w:val="20"/>
          <w:szCs w:val="20"/>
          <w:lang w:val="en-GB"/>
        </w:rPr>
        <w:t>Boyce et al. v. Barbados</w:t>
      </w:r>
      <w:r w:rsidRPr="00485152">
        <w:rPr>
          <w:sz w:val="20"/>
          <w:szCs w:val="20"/>
          <w:lang w:val="en-GB"/>
        </w:rPr>
        <w:t>, IACtHR, 20 November 2007, §117.</w:t>
      </w:r>
    </w:p>
  </w:footnote>
  <w:footnote w:id="146">
    <w:p w14:paraId="4ADAE64A"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p.8, §42.</w:t>
      </w:r>
    </w:p>
  </w:footnote>
  <w:footnote w:id="147">
    <w:p w14:paraId="7EC232DF"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i/>
          <w:sz w:val="20"/>
          <w:szCs w:val="20"/>
          <w:lang w:val="en-US"/>
        </w:rPr>
        <w:t>Anzualdo Castro v. Peru</w:t>
      </w:r>
      <w:r w:rsidRPr="00485152">
        <w:rPr>
          <w:rFonts w:asciiTheme="majorBidi" w:hAnsiTheme="majorBidi" w:cstheme="majorBidi"/>
          <w:sz w:val="20"/>
          <w:szCs w:val="20"/>
          <w:lang w:val="en-US"/>
        </w:rPr>
        <w:t>, IACtHR, 22 September 2009, §119.</w:t>
      </w:r>
    </w:p>
  </w:footnote>
  <w:footnote w:id="148">
    <w:p w14:paraId="7B2697C2" w14:textId="7777777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w:t>
      </w:r>
      <w:r w:rsidRPr="00485152">
        <w:rPr>
          <w:rFonts w:asciiTheme="majorBidi" w:hAnsiTheme="majorBidi" w:cstheme="majorBidi"/>
          <w:sz w:val="20"/>
          <w:szCs w:val="20"/>
          <w:lang w:val="en-GB"/>
        </w:rPr>
        <w:t>“</w:t>
      </w:r>
      <w:r w:rsidRPr="00485152">
        <w:rPr>
          <w:rFonts w:asciiTheme="majorBidi" w:hAnsiTheme="majorBidi" w:cstheme="majorBidi"/>
          <w:i/>
          <w:sz w:val="20"/>
          <w:szCs w:val="20"/>
          <w:lang w:val="en-US"/>
        </w:rPr>
        <w:t>Las dos Erres</w:t>
      </w:r>
      <w:r w:rsidRPr="00485152">
        <w:rPr>
          <w:rFonts w:asciiTheme="majorBidi" w:hAnsiTheme="majorBidi" w:cstheme="majorBidi"/>
          <w:sz w:val="20"/>
          <w:szCs w:val="20"/>
          <w:lang w:val="en-GB"/>
        </w:rPr>
        <w:t>”</w:t>
      </w:r>
      <w:r w:rsidRPr="00485152">
        <w:rPr>
          <w:rFonts w:asciiTheme="majorBidi" w:hAnsiTheme="majorBidi" w:cstheme="majorBidi"/>
          <w:i/>
          <w:sz w:val="20"/>
          <w:szCs w:val="20"/>
          <w:lang w:val="en-US"/>
        </w:rPr>
        <w:t xml:space="preserve"> Massacre v. Guatemala</w:t>
      </w:r>
      <w:r w:rsidRPr="00485152">
        <w:rPr>
          <w:rFonts w:asciiTheme="majorBidi" w:hAnsiTheme="majorBidi" w:cstheme="majorBidi"/>
          <w:sz w:val="20"/>
          <w:szCs w:val="20"/>
          <w:lang w:val="en-US"/>
        </w:rPr>
        <w:t>, IACtHR, 24 November 2009, §232.</w:t>
      </w:r>
    </w:p>
  </w:footnote>
  <w:footnote w:id="149">
    <w:p w14:paraId="1298EC55" w14:textId="1240E7BE"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E.g. </w:t>
      </w:r>
      <w:r w:rsidRPr="00485152">
        <w:rPr>
          <w:rFonts w:asciiTheme="majorBidi" w:hAnsiTheme="majorBidi" w:cstheme="majorBidi"/>
          <w:i/>
          <w:sz w:val="20"/>
          <w:szCs w:val="20"/>
          <w:lang w:val="en-US"/>
        </w:rPr>
        <w:t>19 Merchants v. Colombia</w:t>
      </w:r>
      <w:r w:rsidRPr="00485152">
        <w:rPr>
          <w:rFonts w:asciiTheme="majorBidi" w:hAnsiTheme="majorBidi" w:cstheme="majorBidi"/>
          <w:sz w:val="20"/>
          <w:szCs w:val="20"/>
          <w:lang w:val="en-US"/>
        </w:rPr>
        <w:t>, IACtHR, 5 July 2004, §263.</w:t>
      </w:r>
    </w:p>
  </w:footnote>
  <w:footnote w:id="150">
    <w:p w14:paraId="1D8248F2" w14:textId="760F3048"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i/>
          <w:sz w:val="20"/>
          <w:szCs w:val="20"/>
          <w:lang w:val="fr-FR"/>
        </w:rPr>
        <w:t>Rochela Massacre v. Colombia</w:t>
      </w:r>
      <w:r w:rsidRPr="00485152">
        <w:rPr>
          <w:sz w:val="20"/>
          <w:szCs w:val="20"/>
          <w:lang w:val="fr-FR"/>
        </w:rPr>
        <w:t xml:space="preserve">, IACtHR, 11 May 2007, §196; </w:t>
      </w:r>
      <w:r w:rsidRPr="00485152">
        <w:rPr>
          <w:i/>
          <w:sz w:val="20"/>
          <w:szCs w:val="20"/>
          <w:lang w:val="fr-FR"/>
        </w:rPr>
        <w:t>Valle Jar</w:t>
      </w:r>
      <w:r>
        <w:rPr>
          <w:i/>
          <w:sz w:val="20"/>
          <w:szCs w:val="20"/>
          <w:lang w:val="fr-FR"/>
        </w:rPr>
        <w:t>a</w:t>
      </w:r>
      <w:r w:rsidRPr="00485152">
        <w:rPr>
          <w:i/>
          <w:sz w:val="20"/>
          <w:szCs w:val="20"/>
          <w:lang w:val="fr-FR"/>
        </w:rPr>
        <w:t>millo v. Colombia</w:t>
      </w:r>
      <w:r w:rsidRPr="00485152">
        <w:rPr>
          <w:sz w:val="20"/>
          <w:szCs w:val="20"/>
          <w:lang w:val="fr-FR"/>
        </w:rPr>
        <w:t>, IACtHR, 27 November 2008, §78.</w:t>
      </w:r>
    </w:p>
  </w:footnote>
  <w:footnote w:id="151">
    <w:p w14:paraId="51420E54" w14:textId="703B8A2D" w:rsidR="003A1201" w:rsidRPr="00485152" w:rsidRDefault="003A1201" w:rsidP="000D1F78">
      <w:pPr>
        <w:pStyle w:val="FootnoteText"/>
        <w:numPr>
          <w:ilvl w:val="0"/>
          <w:numId w:val="0"/>
        </w:numPr>
        <w:rPr>
          <w:rFonts w:asciiTheme="majorBidi" w:hAnsiTheme="majorBidi" w:cstheme="majorBidi"/>
          <w:sz w:val="20"/>
          <w:szCs w:val="20"/>
          <w:lang w:val="it-IT"/>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it-IT"/>
        </w:rPr>
        <w:t xml:space="preserve"> </w:t>
      </w:r>
      <w:r w:rsidRPr="00485152">
        <w:rPr>
          <w:rFonts w:asciiTheme="majorBidi" w:hAnsiTheme="majorBidi" w:cstheme="majorBidi"/>
          <w:i/>
          <w:sz w:val="20"/>
          <w:szCs w:val="20"/>
          <w:lang w:val="it-IT"/>
        </w:rPr>
        <w:t>Rochela Massacre v. Colombia</w:t>
      </w:r>
      <w:r w:rsidRPr="00485152">
        <w:rPr>
          <w:rFonts w:asciiTheme="majorBidi" w:hAnsiTheme="majorBidi" w:cstheme="majorBidi"/>
          <w:sz w:val="20"/>
          <w:szCs w:val="20"/>
          <w:lang w:val="it-IT"/>
        </w:rPr>
        <w:t>, IACtHR, 11 May 2007, §196.</w:t>
      </w:r>
    </w:p>
  </w:footnote>
  <w:footnote w:id="152">
    <w:p w14:paraId="6E2C963D" w14:textId="1DA38B99" w:rsidR="003A1201" w:rsidRPr="00485152" w:rsidRDefault="003A1201" w:rsidP="000D1F78">
      <w:pPr>
        <w:pStyle w:val="FootnoteText"/>
        <w:numPr>
          <w:ilvl w:val="0"/>
          <w:numId w:val="0"/>
        </w:numPr>
        <w:rPr>
          <w:sz w:val="20"/>
          <w:szCs w:val="20"/>
          <w:lang w:val="en-US"/>
        </w:rPr>
      </w:pPr>
      <w:r w:rsidRPr="00485152">
        <w:rPr>
          <w:rStyle w:val="FootnoteReference"/>
          <w:sz w:val="20"/>
          <w:szCs w:val="20"/>
        </w:rPr>
        <w:footnoteRef/>
      </w:r>
      <w:r w:rsidRPr="00485152">
        <w:rPr>
          <w:sz w:val="20"/>
          <w:szCs w:val="20"/>
          <w:lang w:val="en-US"/>
        </w:rPr>
        <w:t xml:space="preserve"> Hypothetical, p.9, §46.</w:t>
      </w:r>
    </w:p>
  </w:footnote>
  <w:footnote w:id="153">
    <w:p w14:paraId="5772DFC7" w14:textId="5B5A4C0D" w:rsidR="003A1201" w:rsidRPr="00485152" w:rsidRDefault="003A1201" w:rsidP="000D1F78">
      <w:pPr>
        <w:pStyle w:val="FootnoteText"/>
        <w:numPr>
          <w:ilvl w:val="0"/>
          <w:numId w:val="0"/>
        </w:numPr>
        <w:rPr>
          <w:sz w:val="20"/>
          <w:szCs w:val="20"/>
          <w:lang w:val="fr-FR"/>
        </w:rPr>
      </w:pPr>
      <w:r w:rsidRPr="00485152">
        <w:rPr>
          <w:rStyle w:val="FootnoteReference"/>
          <w:sz w:val="20"/>
          <w:szCs w:val="20"/>
        </w:rPr>
        <w:footnoteRef/>
      </w:r>
      <w:r w:rsidRPr="00485152">
        <w:rPr>
          <w:sz w:val="20"/>
          <w:szCs w:val="20"/>
        </w:rPr>
        <w:t xml:space="preserve"> </w:t>
      </w:r>
      <w:r w:rsidRPr="00485152">
        <w:rPr>
          <w:sz w:val="20"/>
          <w:szCs w:val="20"/>
          <w:lang w:val="fr-FR"/>
        </w:rPr>
        <w:t>Clarification Questions, no.15.</w:t>
      </w:r>
    </w:p>
  </w:footnote>
  <w:footnote w:id="154">
    <w:p w14:paraId="704174A5" w14:textId="77777777" w:rsidR="003A1201" w:rsidRPr="00485152" w:rsidRDefault="003A1201" w:rsidP="00765623">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cstheme="majorBidi"/>
          <w:sz w:val="20"/>
          <w:szCs w:val="20"/>
        </w:rPr>
        <w:footnoteRef/>
      </w:r>
      <w:r w:rsidRPr="00485152">
        <w:rPr>
          <w:rFonts w:asciiTheme="majorBidi" w:hAnsiTheme="majorBidi" w:cstheme="majorBidi"/>
          <w:sz w:val="20"/>
          <w:szCs w:val="20"/>
          <w:lang w:val="en-US"/>
        </w:rPr>
        <w:t xml:space="preserve"> Hypothetical, p.10, §50.</w:t>
      </w:r>
    </w:p>
  </w:footnote>
  <w:footnote w:id="155">
    <w:p w14:paraId="4A32D1B0" w14:textId="08778A0C" w:rsidR="003A1201" w:rsidRPr="00485152" w:rsidRDefault="003A1201" w:rsidP="00CE7ACC">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Paragraph 20.</w:t>
      </w:r>
    </w:p>
  </w:footnote>
  <w:footnote w:id="156">
    <w:p w14:paraId="1A24E15F" w14:textId="647D4882" w:rsidR="003A1201" w:rsidRPr="00485152" w:rsidRDefault="003A1201" w:rsidP="00765623">
      <w:pPr>
        <w:pStyle w:val="FootnoteText"/>
        <w:numPr>
          <w:ilvl w:val="0"/>
          <w:numId w:val="0"/>
        </w:numPr>
        <w:rPr>
          <w:sz w:val="20"/>
          <w:szCs w:val="20"/>
          <w:lang w:val="en-GB"/>
        </w:rPr>
      </w:pPr>
      <w:r w:rsidRPr="00485152">
        <w:rPr>
          <w:rStyle w:val="FootnoteReference"/>
          <w:rFonts w:asciiTheme="majorBidi" w:hAnsiTheme="majorBidi" w:cstheme="majorBidi"/>
          <w:sz w:val="20"/>
          <w:szCs w:val="20"/>
          <w:lang w:val="en-GB"/>
        </w:rPr>
        <w:footnoteRef/>
      </w:r>
      <w:r w:rsidRPr="00485152">
        <w:rPr>
          <w:sz w:val="20"/>
          <w:szCs w:val="20"/>
          <w:lang w:val="en-GB"/>
        </w:rPr>
        <w:t xml:space="preserve"> </w:t>
      </w:r>
      <w:r w:rsidRPr="00485152">
        <w:rPr>
          <w:i/>
          <w:sz w:val="20"/>
          <w:szCs w:val="20"/>
          <w:lang w:val="en-GB"/>
        </w:rPr>
        <w:t>Principal Guidelines for a comprehensive reparations policy</w:t>
      </w:r>
      <w:r w:rsidRPr="00485152">
        <w:rPr>
          <w:sz w:val="20"/>
          <w:szCs w:val="20"/>
          <w:lang w:val="en-GB"/>
        </w:rPr>
        <w:t>, IACHR, 19 February 2008, p.2-3, §§6-7.</w:t>
      </w:r>
    </w:p>
  </w:footnote>
  <w:footnote w:id="157">
    <w:p w14:paraId="13E6B4A2" w14:textId="2AC0246B" w:rsidR="003A1201" w:rsidRPr="00485152" w:rsidRDefault="003A1201" w:rsidP="00765623">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w:t>
      </w:r>
      <w:r w:rsidRPr="00485152">
        <w:rPr>
          <w:rFonts w:asciiTheme="majorBidi" w:hAnsiTheme="majorBidi" w:cstheme="majorBidi"/>
          <w:sz w:val="20"/>
          <w:szCs w:val="20"/>
          <w:lang w:val="en-GB"/>
        </w:rPr>
        <w:t>Hypothetical, p.10, §50.</w:t>
      </w:r>
    </w:p>
  </w:footnote>
  <w:footnote w:id="158">
    <w:p w14:paraId="412075D5" w14:textId="62A37C4C" w:rsidR="003A1201" w:rsidRPr="00485152" w:rsidRDefault="003A1201" w:rsidP="00CE7ACC">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sz w:val="20"/>
          <w:szCs w:val="20"/>
          <w:lang w:val="en-GB"/>
        </w:rPr>
        <w:t>J. Pasqualucci, “The Practice and Procedure of the IACtHR”, p.246.</w:t>
      </w:r>
    </w:p>
  </w:footnote>
  <w:footnote w:id="159">
    <w:p w14:paraId="14AC6A65" w14:textId="45AE1CD4" w:rsidR="003A1201" w:rsidRPr="00EA796A" w:rsidRDefault="003A1201" w:rsidP="00765623">
      <w:pPr>
        <w:pStyle w:val="FootnoteText"/>
        <w:numPr>
          <w:ilvl w:val="0"/>
          <w:numId w:val="0"/>
        </w:numPr>
        <w:rPr>
          <w:sz w:val="20"/>
          <w:szCs w:val="20"/>
        </w:rPr>
      </w:pPr>
      <w:r w:rsidRPr="00485152">
        <w:rPr>
          <w:rStyle w:val="FootnoteReference"/>
          <w:sz w:val="20"/>
          <w:szCs w:val="20"/>
        </w:rPr>
        <w:footnoteRef/>
      </w:r>
      <w:r w:rsidRPr="00EA796A">
        <w:rPr>
          <w:sz w:val="20"/>
          <w:szCs w:val="20"/>
        </w:rPr>
        <w:t xml:space="preserve"> </w:t>
      </w:r>
      <w:r w:rsidRPr="00EA796A">
        <w:rPr>
          <w:i/>
          <w:iCs/>
          <w:sz w:val="20"/>
          <w:szCs w:val="20"/>
        </w:rPr>
        <w:t xml:space="preserve">Inocencio Rodríguez (Argentina), </w:t>
      </w:r>
      <w:r w:rsidRPr="00EA796A">
        <w:rPr>
          <w:sz w:val="20"/>
          <w:szCs w:val="20"/>
        </w:rPr>
        <w:t xml:space="preserve">IACHR, Report No. 19/11, 23 March 2011, §§12-16; </w:t>
      </w:r>
      <w:r w:rsidRPr="00EA796A">
        <w:rPr>
          <w:i/>
          <w:iCs/>
          <w:sz w:val="20"/>
          <w:szCs w:val="20"/>
        </w:rPr>
        <w:t xml:space="preserve">Valerio Castillo Báez (Argentina), </w:t>
      </w:r>
      <w:r w:rsidRPr="00EA796A">
        <w:rPr>
          <w:sz w:val="20"/>
          <w:szCs w:val="20"/>
        </w:rPr>
        <w:t xml:space="preserve">IACHR, Report No. 161/10, 1 November 2010, §§17-21; </w:t>
      </w:r>
      <w:r w:rsidRPr="00EA796A">
        <w:rPr>
          <w:i/>
          <w:iCs/>
          <w:sz w:val="20"/>
          <w:szCs w:val="20"/>
        </w:rPr>
        <w:t>Annual Report 2013</w:t>
      </w:r>
      <w:r w:rsidRPr="00EA796A">
        <w:rPr>
          <w:sz w:val="20"/>
          <w:szCs w:val="20"/>
        </w:rPr>
        <w:t>, IACHR, Chapter II, §175.</w:t>
      </w:r>
    </w:p>
  </w:footnote>
  <w:footnote w:id="160">
    <w:p w14:paraId="357A595E" w14:textId="2C0D9615" w:rsidR="003A1201" w:rsidRPr="00485152" w:rsidRDefault="003A1201" w:rsidP="00765623">
      <w:pPr>
        <w:pStyle w:val="FootnoteText"/>
        <w:numPr>
          <w:ilvl w:val="0"/>
          <w:numId w:val="0"/>
        </w:numPr>
        <w:rPr>
          <w:sz w:val="20"/>
          <w:szCs w:val="20"/>
          <w:lang w:val="pt-PT"/>
        </w:rPr>
      </w:pPr>
      <w:r w:rsidRPr="00485152">
        <w:rPr>
          <w:rStyle w:val="FootnoteReference"/>
          <w:sz w:val="20"/>
          <w:szCs w:val="20"/>
        </w:rPr>
        <w:footnoteRef/>
      </w:r>
      <w:r w:rsidRPr="00485152">
        <w:rPr>
          <w:sz w:val="20"/>
          <w:szCs w:val="20"/>
          <w:lang w:val="pt-PT"/>
        </w:rPr>
        <w:t xml:space="preserve"> </w:t>
      </w:r>
      <w:r w:rsidRPr="00485152">
        <w:rPr>
          <w:i/>
          <w:iCs/>
          <w:sz w:val="20"/>
          <w:szCs w:val="20"/>
          <w:lang w:val="pt-PT"/>
        </w:rPr>
        <w:t xml:space="preserve">Gomes Lund et al. (“Guerrilha Do Araguaia”) v. Brazil, </w:t>
      </w:r>
      <w:r w:rsidRPr="00485152">
        <w:rPr>
          <w:sz w:val="20"/>
          <w:szCs w:val="20"/>
          <w:lang w:val="pt-PT"/>
        </w:rPr>
        <w:t xml:space="preserve">IACtHR, 24 November 2010, §303; See also: </w:t>
      </w:r>
      <w:r w:rsidRPr="00485152">
        <w:rPr>
          <w:i/>
          <w:iCs/>
          <w:sz w:val="20"/>
          <w:szCs w:val="20"/>
          <w:lang w:val="pt-PT"/>
        </w:rPr>
        <w:t xml:space="preserve">Manuel Cepeda Vargas v. Colombia, </w:t>
      </w:r>
      <w:r w:rsidRPr="00485152">
        <w:rPr>
          <w:sz w:val="20"/>
          <w:szCs w:val="20"/>
          <w:lang w:val="pt-PT"/>
        </w:rPr>
        <w:t>IACtHR, 26 May 2010, §246.</w:t>
      </w:r>
    </w:p>
  </w:footnote>
  <w:footnote w:id="161">
    <w:p w14:paraId="31C3393A" w14:textId="77777777" w:rsidR="003A1201" w:rsidRPr="00EA796A" w:rsidRDefault="003A1201" w:rsidP="00765623">
      <w:pPr>
        <w:pStyle w:val="FootnoteText"/>
        <w:numPr>
          <w:ilvl w:val="0"/>
          <w:numId w:val="0"/>
        </w:numPr>
        <w:rPr>
          <w:sz w:val="20"/>
          <w:szCs w:val="20"/>
          <w:lang w:val="pt-PT"/>
        </w:rPr>
      </w:pPr>
      <w:r w:rsidRPr="00485152">
        <w:rPr>
          <w:rStyle w:val="FootnoteReference"/>
          <w:sz w:val="20"/>
          <w:szCs w:val="20"/>
        </w:rPr>
        <w:footnoteRef/>
      </w:r>
      <w:r w:rsidRPr="00EA796A">
        <w:rPr>
          <w:sz w:val="20"/>
          <w:szCs w:val="20"/>
          <w:lang w:val="pt-PT"/>
        </w:rPr>
        <w:t xml:space="preserve"> Hypothetical, p.10, §50.</w:t>
      </w:r>
    </w:p>
  </w:footnote>
  <w:footnote w:id="162">
    <w:p w14:paraId="2A6A1A32" w14:textId="77777777" w:rsidR="003A1201" w:rsidRPr="00EA796A" w:rsidRDefault="003A1201" w:rsidP="00D22395">
      <w:pPr>
        <w:pStyle w:val="FootnoteText"/>
        <w:numPr>
          <w:ilvl w:val="0"/>
          <w:numId w:val="0"/>
        </w:numPr>
        <w:rPr>
          <w:rFonts w:asciiTheme="majorBidi" w:hAnsiTheme="majorBidi" w:cstheme="majorBidi"/>
          <w:sz w:val="20"/>
          <w:szCs w:val="20"/>
          <w:lang w:val="pt-PT"/>
        </w:rPr>
      </w:pPr>
      <w:r w:rsidRPr="00485152">
        <w:rPr>
          <w:rStyle w:val="FootnoteReference"/>
          <w:rFonts w:asciiTheme="majorBidi" w:hAnsiTheme="majorBidi"/>
          <w:sz w:val="20"/>
          <w:szCs w:val="20"/>
        </w:rPr>
        <w:footnoteRef/>
      </w:r>
      <w:r w:rsidRPr="00EA796A">
        <w:rPr>
          <w:rFonts w:asciiTheme="majorBidi" w:hAnsiTheme="majorBidi" w:cstheme="majorBidi"/>
          <w:sz w:val="20"/>
          <w:szCs w:val="20"/>
          <w:lang w:val="pt-PT"/>
        </w:rPr>
        <w:t xml:space="preserve"> Hypothetical, p.8, §41.</w:t>
      </w:r>
    </w:p>
  </w:footnote>
  <w:footnote w:id="163">
    <w:p w14:paraId="437BC3B6" w14:textId="4405D015" w:rsidR="003A1201" w:rsidRPr="00EA796A" w:rsidRDefault="003A1201" w:rsidP="00D22395">
      <w:pPr>
        <w:pStyle w:val="FootnoteText"/>
        <w:numPr>
          <w:ilvl w:val="0"/>
          <w:numId w:val="0"/>
        </w:numPr>
        <w:rPr>
          <w:sz w:val="20"/>
          <w:szCs w:val="20"/>
          <w:lang w:val="pt-PT"/>
        </w:rPr>
      </w:pPr>
      <w:r w:rsidRPr="00485152">
        <w:rPr>
          <w:rStyle w:val="FootnoteReference"/>
          <w:sz w:val="20"/>
          <w:szCs w:val="20"/>
        </w:rPr>
        <w:footnoteRef/>
      </w:r>
      <w:r w:rsidRPr="00EA796A">
        <w:rPr>
          <w:sz w:val="20"/>
          <w:szCs w:val="20"/>
          <w:lang w:val="pt-PT"/>
        </w:rPr>
        <w:t xml:space="preserve"> </w:t>
      </w:r>
      <w:r w:rsidRPr="00EA796A">
        <w:rPr>
          <w:rFonts w:asciiTheme="majorBidi" w:hAnsiTheme="majorBidi" w:cstheme="majorBidi"/>
          <w:i/>
          <w:sz w:val="20"/>
          <w:szCs w:val="20"/>
          <w:lang w:val="pt-PT"/>
        </w:rPr>
        <w:t>Montero-Aranguren et al v. Venezuela</w:t>
      </w:r>
      <w:r w:rsidRPr="00EA796A">
        <w:rPr>
          <w:rFonts w:asciiTheme="majorBidi" w:hAnsiTheme="majorBidi" w:cstheme="majorBidi"/>
          <w:sz w:val="20"/>
          <w:szCs w:val="20"/>
          <w:lang w:val="pt-PT"/>
        </w:rPr>
        <w:t>, IACtHR, 5 July 2006, §§67-76.</w:t>
      </w:r>
    </w:p>
  </w:footnote>
  <w:footnote w:id="164">
    <w:p w14:paraId="7E0FE4E5" w14:textId="77777777" w:rsidR="003A1201" w:rsidRPr="00EA796A" w:rsidRDefault="003A1201" w:rsidP="00D22395">
      <w:pPr>
        <w:pStyle w:val="FootnoteText"/>
        <w:numPr>
          <w:ilvl w:val="0"/>
          <w:numId w:val="0"/>
        </w:numPr>
        <w:rPr>
          <w:sz w:val="20"/>
          <w:szCs w:val="20"/>
          <w:lang w:val="pt-PT"/>
        </w:rPr>
      </w:pPr>
      <w:r w:rsidRPr="00485152">
        <w:rPr>
          <w:rStyle w:val="FootnoteReference"/>
          <w:sz w:val="20"/>
          <w:szCs w:val="20"/>
        </w:rPr>
        <w:footnoteRef/>
      </w:r>
      <w:r w:rsidRPr="00EA796A">
        <w:rPr>
          <w:sz w:val="20"/>
          <w:szCs w:val="20"/>
          <w:lang w:val="pt-PT"/>
        </w:rPr>
        <w:t xml:space="preserve"> </w:t>
      </w:r>
      <w:r w:rsidRPr="00EA796A">
        <w:rPr>
          <w:rFonts w:asciiTheme="majorBidi" w:hAnsiTheme="majorBidi" w:cstheme="majorBidi"/>
          <w:i/>
          <w:sz w:val="20"/>
          <w:szCs w:val="20"/>
          <w:lang w:val="pt-PT"/>
        </w:rPr>
        <w:t>Montero-Aranguren et al v. Venezuela</w:t>
      </w:r>
      <w:r w:rsidRPr="00EA796A">
        <w:rPr>
          <w:rFonts w:asciiTheme="majorBidi" w:hAnsiTheme="majorBidi" w:cstheme="majorBidi"/>
          <w:sz w:val="20"/>
          <w:szCs w:val="20"/>
          <w:lang w:val="pt-PT"/>
        </w:rPr>
        <w:t xml:space="preserve">, IACtHR, 5 July 2006, </w:t>
      </w:r>
      <w:r w:rsidRPr="00EA796A">
        <w:rPr>
          <w:sz w:val="20"/>
          <w:szCs w:val="20"/>
          <w:lang w:val="pt-PT"/>
        </w:rPr>
        <w:t>§63.</w:t>
      </w:r>
    </w:p>
  </w:footnote>
  <w:footnote w:id="165">
    <w:p w14:paraId="42CD25D8" w14:textId="3AC135DD" w:rsidR="003A1201" w:rsidRPr="00EA796A" w:rsidRDefault="003A1201" w:rsidP="00D22395">
      <w:pPr>
        <w:pStyle w:val="FootnoteText"/>
        <w:numPr>
          <w:ilvl w:val="0"/>
          <w:numId w:val="0"/>
        </w:numPr>
        <w:rPr>
          <w:rFonts w:asciiTheme="majorBidi" w:hAnsiTheme="majorBidi" w:cstheme="majorBidi"/>
          <w:sz w:val="20"/>
          <w:szCs w:val="20"/>
          <w:lang w:val="pt-BR"/>
        </w:rPr>
      </w:pPr>
      <w:r w:rsidRPr="00485152">
        <w:rPr>
          <w:rStyle w:val="FootnoteReference"/>
          <w:rFonts w:asciiTheme="majorBidi" w:hAnsiTheme="majorBidi"/>
          <w:sz w:val="20"/>
          <w:szCs w:val="20"/>
        </w:rPr>
        <w:footnoteRef/>
      </w:r>
      <w:r w:rsidRPr="00EA796A">
        <w:rPr>
          <w:rFonts w:asciiTheme="majorBidi" w:hAnsiTheme="majorBidi" w:cstheme="majorBidi"/>
          <w:sz w:val="20"/>
          <w:szCs w:val="20"/>
          <w:lang w:val="pt-BR"/>
        </w:rPr>
        <w:t xml:space="preserve"> </w:t>
      </w:r>
      <w:r w:rsidRPr="00EA796A">
        <w:rPr>
          <w:rFonts w:asciiTheme="majorBidi" w:hAnsiTheme="majorBidi" w:cstheme="majorBidi"/>
          <w:i/>
          <w:sz w:val="20"/>
          <w:szCs w:val="20"/>
          <w:lang w:val="pt-BR"/>
        </w:rPr>
        <w:t>Neira Alegría v. Peru</w:t>
      </w:r>
      <w:r w:rsidRPr="00EA796A">
        <w:rPr>
          <w:rFonts w:asciiTheme="majorBidi" w:hAnsiTheme="majorBidi" w:cstheme="majorBidi"/>
          <w:sz w:val="20"/>
          <w:szCs w:val="20"/>
          <w:lang w:val="pt-BR"/>
        </w:rPr>
        <w:t>, IACtHR, 19 January 1995, §74.</w:t>
      </w:r>
    </w:p>
  </w:footnote>
  <w:footnote w:id="166">
    <w:p w14:paraId="5331A4A9" w14:textId="1D65F5D2" w:rsidR="003A1201" w:rsidRPr="00485152" w:rsidRDefault="003A1201" w:rsidP="00D22395">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Principle 9 of the </w:t>
      </w:r>
      <w:r w:rsidRPr="00485152">
        <w:rPr>
          <w:rFonts w:asciiTheme="majorBidi" w:hAnsiTheme="majorBidi" w:cstheme="majorBidi"/>
          <w:i/>
          <w:sz w:val="20"/>
          <w:szCs w:val="20"/>
          <w:lang w:val="en-GB"/>
        </w:rPr>
        <w:t>Basic Principles on the Use of Force and Firearms by Law Enforcement Officials</w:t>
      </w:r>
      <w:r w:rsidRPr="00485152">
        <w:rPr>
          <w:rFonts w:asciiTheme="majorBidi" w:hAnsiTheme="majorBidi" w:cstheme="majorBidi"/>
          <w:sz w:val="20"/>
          <w:szCs w:val="20"/>
          <w:lang w:val="en-GB"/>
        </w:rPr>
        <w:t>, UN Doc. A/CONF.144/28/Rev.1., Eighth United Nations Congress on the Prevention of Crime and the Treatment of Offenders, Havana, 7 September 1990.</w:t>
      </w:r>
    </w:p>
  </w:footnote>
  <w:footnote w:id="167">
    <w:p w14:paraId="3286D564" w14:textId="77777777" w:rsidR="003A1201" w:rsidRPr="00485152" w:rsidRDefault="003A1201" w:rsidP="00D22395">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w:t>
      </w:r>
      <w:r w:rsidRPr="00485152">
        <w:rPr>
          <w:rFonts w:asciiTheme="majorBidi" w:hAnsiTheme="majorBidi" w:cstheme="majorBidi"/>
          <w:i/>
          <w:sz w:val="20"/>
          <w:szCs w:val="20"/>
          <w:lang w:val="en-GB"/>
        </w:rPr>
        <w:t>Neira Alegría v. Peru</w:t>
      </w:r>
      <w:r w:rsidRPr="00485152">
        <w:rPr>
          <w:rFonts w:asciiTheme="majorBidi" w:hAnsiTheme="majorBidi" w:cstheme="majorBidi"/>
          <w:sz w:val="20"/>
          <w:szCs w:val="20"/>
          <w:lang w:val="en-GB"/>
        </w:rPr>
        <w:t xml:space="preserve">, IACtHR, 19 January 1995, §74; </w:t>
      </w:r>
      <w:r w:rsidRPr="00485152">
        <w:rPr>
          <w:rFonts w:asciiTheme="majorBidi" w:hAnsiTheme="majorBidi" w:cstheme="majorBidi"/>
          <w:i/>
          <w:sz w:val="20"/>
          <w:szCs w:val="20"/>
          <w:lang w:val="en-GB"/>
        </w:rPr>
        <w:t>“Report on Human Rights and Terrorism”</w:t>
      </w:r>
      <w:r w:rsidRPr="00485152">
        <w:rPr>
          <w:rFonts w:asciiTheme="majorBidi" w:hAnsiTheme="majorBidi" w:cstheme="majorBidi"/>
          <w:sz w:val="20"/>
          <w:szCs w:val="20"/>
          <w:lang w:val="en-GB"/>
        </w:rPr>
        <w:t xml:space="preserve">, IACHR, 22 October 2012, OEA/Ser.L/V/II.116, §87; </w:t>
      </w:r>
      <w:r w:rsidRPr="00485152">
        <w:rPr>
          <w:rFonts w:asciiTheme="majorBidi" w:hAnsiTheme="majorBidi" w:cstheme="majorBidi"/>
          <w:i/>
          <w:sz w:val="20"/>
          <w:szCs w:val="20"/>
          <w:lang w:val="en-GB"/>
        </w:rPr>
        <w:t>Kerimova and Others v. Russia</w:t>
      </w:r>
      <w:r w:rsidRPr="00485152">
        <w:rPr>
          <w:rFonts w:asciiTheme="majorBidi" w:hAnsiTheme="majorBidi" w:cstheme="majorBidi"/>
          <w:sz w:val="20"/>
          <w:szCs w:val="20"/>
          <w:lang w:val="en-GB"/>
        </w:rPr>
        <w:t>, ECtHR, 3 May 2011, §246.</w:t>
      </w:r>
    </w:p>
  </w:footnote>
  <w:footnote w:id="168">
    <w:p w14:paraId="79B529AD" w14:textId="77777777" w:rsidR="003A1201" w:rsidRPr="00485152" w:rsidRDefault="003A1201" w:rsidP="00D22395">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w:t>
      </w:r>
      <w:r w:rsidRPr="00485152">
        <w:rPr>
          <w:rFonts w:asciiTheme="majorBidi" w:hAnsiTheme="majorBidi" w:cstheme="majorBidi"/>
          <w:i/>
          <w:sz w:val="20"/>
          <w:szCs w:val="20"/>
          <w:lang w:val="en-GB"/>
        </w:rPr>
        <w:t>Montero-Aranguren et al v. Venezuela</w:t>
      </w:r>
      <w:r w:rsidRPr="00485152">
        <w:rPr>
          <w:rFonts w:asciiTheme="majorBidi" w:hAnsiTheme="majorBidi" w:cstheme="majorBidi"/>
          <w:sz w:val="20"/>
          <w:szCs w:val="20"/>
          <w:lang w:val="en-GB"/>
        </w:rPr>
        <w:t xml:space="preserve">, IACtHR, 5 July 2006, </w:t>
      </w:r>
      <w:r w:rsidRPr="00485152">
        <w:rPr>
          <w:sz w:val="20"/>
          <w:szCs w:val="20"/>
          <w:lang w:val="en-GB"/>
        </w:rPr>
        <w:t>§68;</w:t>
      </w:r>
      <w:r w:rsidRPr="00485152">
        <w:rPr>
          <w:rFonts w:asciiTheme="majorBidi" w:hAnsiTheme="majorBidi" w:cstheme="majorBidi"/>
          <w:i/>
          <w:sz w:val="20"/>
          <w:szCs w:val="20"/>
          <w:lang w:val="en-US"/>
        </w:rPr>
        <w:t xml:space="preserve"> Santo Domingo Massacre v. Colombia</w:t>
      </w:r>
      <w:r w:rsidRPr="00485152">
        <w:rPr>
          <w:rFonts w:asciiTheme="majorBidi" w:hAnsiTheme="majorBidi" w:cstheme="majorBidi"/>
          <w:sz w:val="20"/>
          <w:szCs w:val="20"/>
          <w:lang w:val="en-US"/>
        </w:rPr>
        <w:t>, IACTHR, 30 November 2012; §214.</w:t>
      </w:r>
    </w:p>
  </w:footnote>
  <w:footnote w:id="169">
    <w:p w14:paraId="360CD593" w14:textId="4469390D" w:rsidR="003A1201" w:rsidRPr="00485152" w:rsidRDefault="003A1201" w:rsidP="00D22395">
      <w:pPr>
        <w:numPr>
          <w:ilvl w:val="0"/>
          <w:numId w:val="0"/>
        </w:numPr>
        <w:spacing w:after="0" w:line="240" w:lineRule="auto"/>
        <w:rPr>
          <w:rFonts w:ascii="Arial" w:eastAsia="Times New Roman" w:hAnsi="Arial" w:cs="Arial"/>
          <w:sz w:val="20"/>
          <w:szCs w:val="20"/>
          <w:lang w:val="en-GB" w:eastAsia="nl-BE" w:bidi="ar-SA"/>
        </w:rPr>
      </w:pPr>
      <w:r w:rsidRPr="00485152">
        <w:rPr>
          <w:rStyle w:val="FootnoteReference"/>
          <w:sz w:val="20"/>
          <w:szCs w:val="20"/>
        </w:rPr>
        <w:footnoteRef/>
      </w:r>
      <w:r w:rsidRPr="00485152">
        <w:rPr>
          <w:rFonts w:asciiTheme="majorBidi" w:hAnsiTheme="majorBidi" w:cstheme="majorBidi"/>
          <w:i/>
          <w:sz w:val="20"/>
          <w:szCs w:val="20"/>
          <w:lang w:val="en-US"/>
        </w:rPr>
        <w:t xml:space="preserve"> Santo Domingo Massacre v. Colombia</w:t>
      </w:r>
      <w:r w:rsidRPr="00485152">
        <w:rPr>
          <w:rFonts w:asciiTheme="majorBidi" w:hAnsiTheme="majorBidi" w:cstheme="majorBidi"/>
          <w:sz w:val="20"/>
          <w:szCs w:val="20"/>
          <w:lang w:val="en-US"/>
        </w:rPr>
        <w:t xml:space="preserve">, IACtHR, 30 November 2012, §§212-213; </w:t>
      </w:r>
      <w:r w:rsidRPr="00485152">
        <w:rPr>
          <w:rFonts w:cs="Times New Roman"/>
          <w:sz w:val="20"/>
          <w:szCs w:val="20"/>
          <w:lang w:val="en-GB"/>
        </w:rPr>
        <w:t>Art. 13, §2 of Protocol II Additional to the Geneva Conventions (8 June 1977);</w:t>
      </w:r>
      <w:r w:rsidRPr="00485152">
        <w:rPr>
          <w:rFonts w:eastAsia="Times New Roman" w:cs="Times New Roman"/>
          <w:sz w:val="20"/>
          <w:szCs w:val="20"/>
          <w:lang w:val="en-GB" w:eastAsia="nl-BE" w:bidi="ar-SA"/>
        </w:rPr>
        <w:t xml:space="preserve"> J-M. Henckaerts &amp; L. Doswald–Beck, </w:t>
      </w:r>
      <w:r w:rsidRPr="00485152">
        <w:rPr>
          <w:rFonts w:eastAsia="Times New Roman" w:cs="Times New Roman"/>
          <w:i/>
          <w:sz w:val="20"/>
          <w:szCs w:val="20"/>
          <w:lang w:val="en-GB" w:eastAsia="nl-BE" w:bidi="ar-SA"/>
        </w:rPr>
        <w:t>“Customary International humanitarian law</w:t>
      </w:r>
      <w:r w:rsidRPr="00485152">
        <w:rPr>
          <w:rFonts w:eastAsia="Times New Roman" w:cs="Times New Roman"/>
          <w:sz w:val="20"/>
          <w:szCs w:val="20"/>
          <w:lang w:val="en-GB" w:eastAsia="nl-BE" w:bidi="ar-SA"/>
        </w:rPr>
        <w:t>”, volume I, rules, ICRC, Cambridge, 2005, Rule 7</w:t>
      </w:r>
      <w:r w:rsidRPr="00485152">
        <w:rPr>
          <w:rFonts w:ascii="Arial" w:eastAsia="Times New Roman" w:hAnsi="Arial" w:cs="Arial"/>
          <w:sz w:val="20"/>
          <w:szCs w:val="20"/>
          <w:lang w:val="en-GB" w:eastAsia="nl-BE" w:bidi="ar-SA"/>
        </w:rPr>
        <w:t xml:space="preserve">, </w:t>
      </w:r>
      <w:r w:rsidRPr="00485152">
        <w:rPr>
          <w:rFonts w:eastAsia="Times New Roman" w:cs="Times New Roman"/>
          <w:sz w:val="20"/>
          <w:szCs w:val="20"/>
          <w:lang w:val="en-GB" w:eastAsia="nl-BE" w:bidi="ar-SA"/>
        </w:rPr>
        <w:t>p.25-28.</w:t>
      </w:r>
    </w:p>
  </w:footnote>
  <w:footnote w:id="170">
    <w:p w14:paraId="256A2878" w14:textId="61412109" w:rsidR="003A1201" w:rsidRPr="00485152" w:rsidRDefault="003A1201" w:rsidP="00D22395">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w:t>
      </w:r>
      <w:r w:rsidRPr="00485152">
        <w:rPr>
          <w:rFonts w:asciiTheme="majorBidi" w:hAnsiTheme="majorBidi" w:cstheme="majorBidi"/>
          <w:sz w:val="20"/>
          <w:szCs w:val="20"/>
          <w:lang w:val="en-GB"/>
        </w:rPr>
        <w:t xml:space="preserve">Principle 5, b) of the </w:t>
      </w:r>
      <w:r w:rsidRPr="00485152">
        <w:rPr>
          <w:rFonts w:asciiTheme="majorBidi" w:hAnsiTheme="majorBidi" w:cstheme="majorBidi"/>
          <w:i/>
          <w:sz w:val="20"/>
          <w:szCs w:val="20"/>
          <w:lang w:val="en-GB"/>
        </w:rPr>
        <w:t xml:space="preserve">Basic Principles on the Use of Force and Firearms by Law Enforcement Officials, </w:t>
      </w:r>
      <w:r w:rsidRPr="00485152">
        <w:rPr>
          <w:rFonts w:asciiTheme="majorBidi" w:hAnsiTheme="majorBidi" w:cstheme="majorBidi"/>
          <w:sz w:val="20"/>
          <w:szCs w:val="20"/>
          <w:lang w:val="en-GB"/>
        </w:rPr>
        <w:t xml:space="preserve">UN Doc. A/CONF.144/28/Rev.1.,; </w:t>
      </w:r>
      <w:r w:rsidRPr="00485152">
        <w:rPr>
          <w:rFonts w:asciiTheme="majorBidi" w:hAnsiTheme="majorBidi" w:cstheme="majorBidi"/>
          <w:i/>
          <w:sz w:val="20"/>
          <w:szCs w:val="20"/>
          <w:lang w:val="en-US"/>
        </w:rPr>
        <w:t>Santo Domingo Massacre v. Colombia</w:t>
      </w:r>
      <w:r w:rsidRPr="00485152">
        <w:rPr>
          <w:rFonts w:asciiTheme="majorBidi" w:hAnsiTheme="majorBidi" w:cstheme="majorBidi"/>
          <w:sz w:val="20"/>
          <w:szCs w:val="20"/>
          <w:lang w:val="en-US"/>
        </w:rPr>
        <w:t xml:space="preserve">, IACTHR, 30 November 2012, §216; </w:t>
      </w:r>
      <w:r w:rsidRPr="00485152">
        <w:rPr>
          <w:rFonts w:asciiTheme="majorBidi" w:hAnsiTheme="majorBidi" w:cstheme="majorBidi"/>
          <w:i/>
          <w:sz w:val="20"/>
          <w:szCs w:val="20"/>
          <w:lang w:val="en-GB"/>
        </w:rPr>
        <w:t>Ergi v. Turkey</w:t>
      </w:r>
      <w:r w:rsidRPr="00485152">
        <w:rPr>
          <w:rFonts w:asciiTheme="majorBidi" w:hAnsiTheme="majorBidi" w:cstheme="majorBidi"/>
          <w:sz w:val="20"/>
          <w:szCs w:val="20"/>
          <w:lang w:val="en-GB"/>
        </w:rPr>
        <w:t xml:space="preserve">, ECtHR, </w:t>
      </w:r>
      <w:r w:rsidRPr="00485152">
        <w:rPr>
          <w:rStyle w:val="column04"/>
          <w:sz w:val="20"/>
          <w:szCs w:val="20"/>
          <w:lang w:val="en-GB"/>
        </w:rPr>
        <w:t>28 July 1998,</w:t>
      </w:r>
      <w:r w:rsidRPr="00485152">
        <w:rPr>
          <w:rFonts w:asciiTheme="majorBidi" w:hAnsiTheme="majorBidi" w:cstheme="majorBidi"/>
          <w:sz w:val="20"/>
          <w:szCs w:val="20"/>
          <w:lang w:val="en-GB"/>
        </w:rPr>
        <w:t xml:space="preserve"> §79.</w:t>
      </w:r>
    </w:p>
  </w:footnote>
  <w:footnote w:id="171">
    <w:p w14:paraId="749F42AE" w14:textId="77777777" w:rsidR="003A1201" w:rsidRPr="00485152" w:rsidRDefault="003A1201" w:rsidP="00D22395">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w:t>
      </w:r>
      <w:r w:rsidRPr="00485152">
        <w:rPr>
          <w:rFonts w:asciiTheme="majorBidi" w:hAnsiTheme="majorBidi" w:cstheme="majorBidi"/>
          <w:i/>
          <w:sz w:val="20"/>
          <w:szCs w:val="20"/>
          <w:lang w:val="en-GB"/>
        </w:rPr>
        <w:t>Montero-Aranguren et al v. Venezuela</w:t>
      </w:r>
      <w:r w:rsidRPr="00485152">
        <w:rPr>
          <w:rFonts w:asciiTheme="majorBidi" w:hAnsiTheme="majorBidi" w:cstheme="majorBidi"/>
          <w:sz w:val="20"/>
          <w:szCs w:val="20"/>
          <w:lang w:val="en-GB"/>
        </w:rPr>
        <w:t>, IACtHR, 5 July 2006, §66.</w:t>
      </w:r>
    </w:p>
  </w:footnote>
  <w:footnote w:id="172">
    <w:p w14:paraId="5EF61974" w14:textId="205FF0D0" w:rsidR="003A1201" w:rsidRPr="00485152" w:rsidRDefault="003A1201" w:rsidP="005131CE">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i/>
          <w:sz w:val="20"/>
          <w:szCs w:val="20"/>
          <w:lang w:val="fr-FR"/>
        </w:rPr>
        <w:t xml:space="preserve">Santo Domingo Massacre v. </w:t>
      </w:r>
      <w:r w:rsidRPr="00485152">
        <w:rPr>
          <w:rFonts w:asciiTheme="majorBidi" w:hAnsiTheme="majorBidi" w:cstheme="majorBidi"/>
          <w:i/>
          <w:sz w:val="20"/>
          <w:szCs w:val="20"/>
          <w:lang w:val="en-US"/>
        </w:rPr>
        <w:t>Colombia</w:t>
      </w:r>
      <w:r w:rsidRPr="00485152">
        <w:rPr>
          <w:rFonts w:asciiTheme="majorBidi" w:hAnsiTheme="majorBidi" w:cstheme="majorBidi"/>
          <w:sz w:val="20"/>
          <w:szCs w:val="20"/>
          <w:lang w:val="en-US"/>
        </w:rPr>
        <w:t xml:space="preserve">, IACtHR, 30 November 2012, §187; </w:t>
      </w:r>
      <w:r w:rsidRPr="00485152">
        <w:rPr>
          <w:rFonts w:asciiTheme="majorBidi" w:hAnsiTheme="majorBidi" w:cstheme="majorBidi"/>
          <w:i/>
          <w:sz w:val="20"/>
          <w:szCs w:val="20"/>
          <w:lang w:val="en-US"/>
        </w:rPr>
        <w:t>Afro-Descendant Communities Displaced from the Cacarica River Basin (Operation Genesis) v. Colombia</w:t>
      </w:r>
      <w:r w:rsidRPr="00485152">
        <w:rPr>
          <w:rFonts w:asciiTheme="majorBidi" w:hAnsiTheme="majorBidi" w:cstheme="majorBidi"/>
          <w:sz w:val="20"/>
          <w:szCs w:val="20"/>
          <w:lang w:val="en-US"/>
        </w:rPr>
        <w:t xml:space="preserve">, IACtHR, 20 November 2013, §221. </w:t>
      </w:r>
    </w:p>
  </w:footnote>
  <w:footnote w:id="173">
    <w:p w14:paraId="1CCE0B2B" w14:textId="77777777" w:rsidR="003A1201" w:rsidRPr="00485152" w:rsidRDefault="003A1201" w:rsidP="00D22395">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Clarification Questions, no. 51.</w:t>
      </w:r>
    </w:p>
  </w:footnote>
  <w:footnote w:id="174">
    <w:p w14:paraId="7C8F3ABF" w14:textId="45829FA5" w:rsidR="003A1201" w:rsidRPr="00485152" w:rsidRDefault="003A1201" w:rsidP="007C38B0">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See </w:t>
      </w:r>
      <w:r w:rsidRPr="00485152">
        <w:rPr>
          <w:sz w:val="20"/>
          <w:szCs w:val="20"/>
          <w:lang w:val="fr-FR"/>
        </w:rPr>
        <w:t>Hypothetical, p.8, §41.</w:t>
      </w:r>
    </w:p>
  </w:footnote>
  <w:footnote w:id="175">
    <w:p w14:paraId="278F3123" w14:textId="702D7528" w:rsidR="003A1201" w:rsidRPr="00485152" w:rsidRDefault="003A1201" w:rsidP="00D22395">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C. </w:t>
      </w:r>
      <w:r w:rsidRPr="00485152">
        <w:rPr>
          <w:rStyle w:val="st"/>
          <w:rFonts w:asciiTheme="majorBidi" w:hAnsiTheme="majorBidi" w:cstheme="majorBidi"/>
          <w:sz w:val="20"/>
          <w:szCs w:val="20"/>
          <w:lang w:val="en-GB"/>
        </w:rPr>
        <w:t>MEDINA</w:t>
      </w:r>
      <w:r w:rsidRPr="00485152">
        <w:rPr>
          <w:rFonts w:asciiTheme="majorBidi" w:hAnsiTheme="majorBidi" w:cstheme="majorBidi"/>
          <w:sz w:val="20"/>
          <w:szCs w:val="20"/>
          <w:lang w:val="en-GB"/>
        </w:rPr>
        <w:t xml:space="preserve">, </w:t>
      </w:r>
      <w:r w:rsidRPr="00485152">
        <w:rPr>
          <w:rStyle w:val="Emphasis"/>
          <w:rFonts w:asciiTheme="majorBidi" w:hAnsiTheme="majorBidi" w:cstheme="majorBidi"/>
          <w:sz w:val="20"/>
          <w:szCs w:val="20"/>
          <w:lang w:val="en-GB"/>
        </w:rPr>
        <w:t>The American Convention on Human Rights Crucial Rights and Their Theory and Practice</w:t>
      </w:r>
      <w:r w:rsidRPr="00485152">
        <w:rPr>
          <w:rFonts w:asciiTheme="majorBidi" w:hAnsiTheme="majorBidi" w:cstheme="majorBidi"/>
          <w:sz w:val="20"/>
          <w:szCs w:val="20"/>
          <w:lang w:val="en-GB"/>
        </w:rPr>
        <w:t>, Intersentia, Cambridge, 2014, p.51.</w:t>
      </w:r>
    </w:p>
  </w:footnote>
  <w:footnote w:id="176">
    <w:p w14:paraId="5E3B7B41" w14:textId="77777777" w:rsidR="003A1201" w:rsidRPr="00485152" w:rsidRDefault="003A1201" w:rsidP="00D22395">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Art. 4(1) j° art. 1(1) ACHR.</w:t>
      </w:r>
    </w:p>
  </w:footnote>
  <w:footnote w:id="177">
    <w:p w14:paraId="2AF457FD" w14:textId="1B04B0BC" w:rsidR="003A1201" w:rsidRPr="00485152" w:rsidRDefault="003A1201" w:rsidP="00D22395">
      <w:pPr>
        <w:pStyle w:val="FootnoteText"/>
        <w:numPr>
          <w:ilvl w:val="0"/>
          <w:numId w:val="0"/>
        </w:numPr>
        <w:rPr>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Art. 19 ACHR; </w:t>
      </w:r>
      <w:r w:rsidRPr="00485152">
        <w:rPr>
          <w:rFonts w:asciiTheme="majorBidi" w:hAnsiTheme="majorBidi" w:cstheme="majorBidi"/>
          <w:i/>
          <w:sz w:val="20"/>
          <w:szCs w:val="20"/>
          <w:lang w:val="en-GB"/>
        </w:rPr>
        <w:t>Vargas-Areco v. Paraguay</w:t>
      </w:r>
      <w:r w:rsidRPr="00485152">
        <w:rPr>
          <w:rFonts w:asciiTheme="majorBidi" w:hAnsiTheme="majorBidi" w:cstheme="majorBidi"/>
          <w:sz w:val="20"/>
          <w:szCs w:val="20"/>
          <w:lang w:val="en-GB"/>
        </w:rPr>
        <w:t>, IACtHR, 26 September 2006, §77.</w:t>
      </w:r>
    </w:p>
  </w:footnote>
  <w:footnote w:id="178">
    <w:p w14:paraId="7AE0438C" w14:textId="77777777" w:rsidR="003A1201" w:rsidRPr="00EA796A" w:rsidRDefault="003A1201" w:rsidP="00D22395">
      <w:pPr>
        <w:pStyle w:val="FootnoteText"/>
        <w:numPr>
          <w:ilvl w:val="0"/>
          <w:numId w:val="0"/>
        </w:numPr>
        <w:rPr>
          <w:rFonts w:asciiTheme="majorBidi" w:hAnsiTheme="majorBidi" w:cstheme="majorBidi"/>
          <w:sz w:val="20"/>
          <w:szCs w:val="20"/>
          <w:lang w:val="pt-BR"/>
        </w:rPr>
      </w:pPr>
      <w:r w:rsidRPr="00485152">
        <w:rPr>
          <w:rStyle w:val="FootnoteReference"/>
          <w:rFonts w:asciiTheme="majorBidi" w:hAnsiTheme="majorBidi"/>
          <w:sz w:val="20"/>
          <w:szCs w:val="20"/>
        </w:rPr>
        <w:footnoteRef/>
      </w:r>
      <w:r w:rsidRPr="00EA796A">
        <w:rPr>
          <w:rFonts w:asciiTheme="majorBidi" w:hAnsiTheme="majorBidi" w:cstheme="majorBidi"/>
          <w:sz w:val="20"/>
          <w:szCs w:val="20"/>
          <w:lang w:val="pt-BR"/>
        </w:rPr>
        <w:t xml:space="preserve"> </w:t>
      </w:r>
      <w:r w:rsidRPr="00EA796A">
        <w:rPr>
          <w:rFonts w:asciiTheme="majorBidi" w:hAnsiTheme="majorBidi" w:cstheme="majorBidi"/>
          <w:i/>
          <w:sz w:val="20"/>
          <w:szCs w:val="20"/>
          <w:lang w:val="pt-BR"/>
        </w:rPr>
        <w:t>Santo Domingo Massacre v. Colombia</w:t>
      </w:r>
      <w:r w:rsidRPr="00EA796A">
        <w:rPr>
          <w:rFonts w:asciiTheme="majorBidi" w:hAnsiTheme="majorBidi" w:cstheme="majorBidi"/>
          <w:sz w:val="20"/>
          <w:szCs w:val="20"/>
          <w:lang w:val="pt-BR"/>
        </w:rPr>
        <w:t>, IACtHR, 30 November 2012, §192.</w:t>
      </w:r>
    </w:p>
  </w:footnote>
  <w:footnote w:id="179">
    <w:p w14:paraId="088C4C5F" w14:textId="32B4A7D4" w:rsidR="003A1201" w:rsidRPr="00485152" w:rsidRDefault="003A1201" w:rsidP="00D22395">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w:t>
      </w:r>
      <w:r w:rsidRPr="00485152">
        <w:rPr>
          <w:rFonts w:asciiTheme="majorBidi" w:hAnsiTheme="majorBidi" w:cstheme="majorBidi"/>
          <w:i/>
          <w:sz w:val="20"/>
          <w:szCs w:val="20"/>
          <w:lang w:val="en-GB"/>
        </w:rPr>
        <w:t>Mapiripán Massacre v. Colombia</w:t>
      </w:r>
      <w:r>
        <w:rPr>
          <w:rFonts w:asciiTheme="majorBidi" w:hAnsiTheme="majorBidi" w:cstheme="majorBidi"/>
          <w:sz w:val="20"/>
          <w:szCs w:val="20"/>
          <w:lang w:val="en-GB"/>
        </w:rPr>
        <w:t>, IACtHR, 15 September 2005</w:t>
      </w:r>
      <w:r w:rsidRPr="00485152">
        <w:rPr>
          <w:rFonts w:asciiTheme="majorBidi" w:hAnsiTheme="majorBidi" w:cstheme="majorBidi"/>
          <w:sz w:val="20"/>
          <w:szCs w:val="20"/>
          <w:lang w:val="en-GB"/>
        </w:rPr>
        <w:t>, §156; Santo Domingo Massacre v. Colombia, IACtHR, 30 November 2012, §239.</w:t>
      </w:r>
    </w:p>
  </w:footnote>
  <w:footnote w:id="180">
    <w:p w14:paraId="71A23B9D" w14:textId="68C9FD3D" w:rsidR="003A1201" w:rsidRPr="00485152" w:rsidRDefault="003A1201" w:rsidP="00D22395">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w:t>
      </w:r>
      <w:r w:rsidRPr="00485152">
        <w:rPr>
          <w:rFonts w:asciiTheme="majorBidi" w:hAnsiTheme="majorBidi" w:cstheme="majorBidi"/>
          <w:i/>
          <w:sz w:val="20"/>
          <w:szCs w:val="20"/>
          <w:lang w:val="en-GB"/>
        </w:rPr>
        <w:t>Luna López v. Honduras</w:t>
      </w:r>
      <w:r w:rsidRPr="00485152">
        <w:rPr>
          <w:rFonts w:asciiTheme="majorBidi" w:hAnsiTheme="majorBidi" w:cstheme="majorBidi"/>
          <w:sz w:val="20"/>
          <w:szCs w:val="20"/>
          <w:lang w:val="en-GB"/>
        </w:rPr>
        <w:t xml:space="preserve">, IACtHR, 10 October 2013, §123; C. </w:t>
      </w:r>
      <w:r w:rsidRPr="00485152">
        <w:rPr>
          <w:rStyle w:val="st"/>
          <w:rFonts w:asciiTheme="majorBidi" w:hAnsiTheme="majorBidi" w:cstheme="majorBidi"/>
          <w:sz w:val="20"/>
          <w:szCs w:val="20"/>
          <w:lang w:val="en-GB"/>
        </w:rPr>
        <w:t>MEDINA</w:t>
      </w:r>
      <w:r w:rsidRPr="00485152">
        <w:rPr>
          <w:rFonts w:asciiTheme="majorBidi" w:hAnsiTheme="majorBidi" w:cstheme="majorBidi"/>
          <w:sz w:val="20"/>
          <w:szCs w:val="20"/>
          <w:lang w:val="en-GB"/>
        </w:rPr>
        <w:t xml:space="preserve">, </w:t>
      </w:r>
      <w:r w:rsidRPr="00485152">
        <w:rPr>
          <w:rStyle w:val="Emphasis"/>
          <w:rFonts w:asciiTheme="majorBidi" w:hAnsiTheme="majorBidi" w:cstheme="majorBidi"/>
          <w:sz w:val="20"/>
          <w:szCs w:val="20"/>
          <w:lang w:val="en-GB"/>
        </w:rPr>
        <w:t>The American Convention on Human Rights Crucial Rights and Their Theory and Practice</w:t>
      </w:r>
      <w:r w:rsidRPr="00485152">
        <w:rPr>
          <w:rFonts w:asciiTheme="majorBidi" w:hAnsiTheme="majorBidi" w:cstheme="majorBidi"/>
          <w:sz w:val="20"/>
          <w:szCs w:val="20"/>
          <w:lang w:val="en-GB"/>
        </w:rPr>
        <w:t>, Intersentia, Cambridge, 2014, p.62.</w:t>
      </w:r>
    </w:p>
  </w:footnote>
  <w:footnote w:id="181">
    <w:p w14:paraId="77D5F064" w14:textId="2ED85803" w:rsidR="003A1201" w:rsidRPr="00EA796A" w:rsidRDefault="003A1201" w:rsidP="00D22395">
      <w:pPr>
        <w:pStyle w:val="FootnoteText"/>
        <w:numPr>
          <w:ilvl w:val="0"/>
          <w:numId w:val="0"/>
        </w:numPr>
        <w:rPr>
          <w:sz w:val="20"/>
          <w:szCs w:val="20"/>
          <w:lang w:val="pt-BR"/>
        </w:rPr>
      </w:pPr>
      <w:r w:rsidRPr="00485152">
        <w:rPr>
          <w:rStyle w:val="FootnoteReference"/>
          <w:sz w:val="20"/>
          <w:szCs w:val="20"/>
        </w:rPr>
        <w:footnoteRef/>
      </w:r>
      <w:r w:rsidRPr="00EA796A">
        <w:rPr>
          <w:sz w:val="20"/>
          <w:szCs w:val="20"/>
          <w:lang w:val="pt-BR"/>
        </w:rPr>
        <w:t xml:space="preserve"> </w:t>
      </w:r>
      <w:r w:rsidRPr="00EA796A">
        <w:rPr>
          <w:rFonts w:asciiTheme="majorBidi" w:hAnsiTheme="majorBidi" w:cstheme="majorBidi"/>
          <w:i/>
          <w:sz w:val="20"/>
          <w:szCs w:val="20"/>
          <w:lang w:val="pt-BR"/>
        </w:rPr>
        <w:t>Santo Domingo Massacre v. Colombia</w:t>
      </w:r>
      <w:r w:rsidRPr="00EA796A">
        <w:rPr>
          <w:rFonts w:asciiTheme="majorBidi" w:hAnsiTheme="majorBidi" w:cstheme="majorBidi"/>
          <w:sz w:val="20"/>
          <w:szCs w:val="20"/>
          <w:lang w:val="pt-BR"/>
        </w:rPr>
        <w:t>, IACtHR, 30 November 2012, §188.</w:t>
      </w:r>
    </w:p>
  </w:footnote>
  <w:footnote w:id="182">
    <w:p w14:paraId="65741DFE" w14:textId="617BFE25" w:rsidR="003A1201" w:rsidRPr="00485152" w:rsidRDefault="003A1201" w:rsidP="00D22395">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Hypothetical, p.11, §54.</w:t>
      </w:r>
    </w:p>
  </w:footnote>
  <w:footnote w:id="183">
    <w:p w14:paraId="32AF883E" w14:textId="46B54C03" w:rsidR="003A1201" w:rsidRPr="00485152" w:rsidRDefault="003A1201" w:rsidP="00D22395">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Hypothetical, p.8, §38.</w:t>
      </w:r>
    </w:p>
  </w:footnote>
  <w:footnote w:id="184">
    <w:p w14:paraId="130A8CBD" w14:textId="33DFFD95" w:rsidR="003A1201" w:rsidRPr="00485152" w:rsidRDefault="003A1201" w:rsidP="00D22395">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Hypothetical, p.9, §45.</w:t>
      </w:r>
    </w:p>
  </w:footnote>
  <w:footnote w:id="185">
    <w:p w14:paraId="16C5FCD0" w14:textId="2255BFAC" w:rsidR="003A1201" w:rsidRPr="00485152" w:rsidRDefault="003A1201" w:rsidP="00D22395">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Hypothetical, p.7, §37 in conjunction with p.9, §44.</w:t>
      </w:r>
    </w:p>
  </w:footnote>
  <w:footnote w:id="186">
    <w:p w14:paraId="211B68FE" w14:textId="00D2D679" w:rsidR="003A1201" w:rsidRPr="00485152" w:rsidRDefault="003A1201" w:rsidP="00327A5D">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p.7, §35; p.8, §41; p.9, §44.</w:t>
      </w:r>
    </w:p>
  </w:footnote>
  <w:footnote w:id="187">
    <w:p w14:paraId="24AA0955" w14:textId="4F4D7329" w:rsidR="003A1201" w:rsidRPr="00485152" w:rsidRDefault="003A1201" w:rsidP="00D22395">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Hyptothetical, p. 10, §49.</w:t>
      </w:r>
    </w:p>
  </w:footnote>
  <w:footnote w:id="188">
    <w:p w14:paraId="2A34CA90" w14:textId="77777777" w:rsidR="003A1201" w:rsidRPr="00485152" w:rsidRDefault="003A1201" w:rsidP="00D22395">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w:t>
      </w:r>
      <w:r w:rsidRPr="00485152">
        <w:rPr>
          <w:i/>
          <w:sz w:val="20"/>
          <w:szCs w:val="20"/>
          <w:lang w:val="en-GB"/>
        </w:rPr>
        <w:t>Vargas-Areco v. Paraguay</w:t>
      </w:r>
      <w:r w:rsidRPr="00485152">
        <w:rPr>
          <w:sz w:val="20"/>
          <w:szCs w:val="20"/>
          <w:lang w:val="en-GB"/>
        </w:rPr>
        <w:t>, IACtHR, 26 September 2006, §151.</w:t>
      </w:r>
    </w:p>
  </w:footnote>
  <w:footnote w:id="189">
    <w:p w14:paraId="464BBCA2" w14:textId="72CAF749" w:rsidR="003A1201" w:rsidRPr="00485152" w:rsidRDefault="003A1201" w:rsidP="00D22395">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Paragraph 6.</w:t>
      </w:r>
    </w:p>
  </w:footnote>
  <w:footnote w:id="190">
    <w:p w14:paraId="62906B87" w14:textId="0BAF23DF" w:rsidR="003A1201" w:rsidRPr="00485152" w:rsidRDefault="003A1201" w:rsidP="00D22395">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Hypothetical, p.10, §49.</w:t>
      </w:r>
    </w:p>
  </w:footnote>
  <w:footnote w:id="191">
    <w:p w14:paraId="597A05F0" w14:textId="77777777" w:rsidR="003A1201" w:rsidRPr="00485152" w:rsidRDefault="003A1201" w:rsidP="00D22395">
      <w:pPr>
        <w:pStyle w:val="FootnoteText"/>
        <w:numPr>
          <w:ilvl w:val="0"/>
          <w:numId w:val="0"/>
        </w:numPr>
        <w:rPr>
          <w:sz w:val="20"/>
          <w:szCs w:val="20"/>
          <w:lang w:val="en-GB"/>
        </w:rPr>
      </w:pPr>
      <w:r w:rsidRPr="00485152">
        <w:rPr>
          <w:rStyle w:val="FootnoteReference"/>
          <w:sz w:val="20"/>
          <w:szCs w:val="20"/>
        </w:rPr>
        <w:footnoteRef/>
      </w:r>
      <w:r w:rsidRPr="00485152">
        <w:rPr>
          <w:sz w:val="20"/>
          <w:szCs w:val="20"/>
          <w:lang w:val="en-GB"/>
        </w:rPr>
        <w:t xml:space="preserve"> </w:t>
      </w:r>
      <w:r w:rsidRPr="00485152">
        <w:rPr>
          <w:i/>
          <w:sz w:val="20"/>
          <w:szCs w:val="20"/>
          <w:lang w:val="en-GB"/>
        </w:rPr>
        <w:t>Rio Negro Massacre v. Guatemala</w:t>
      </w:r>
      <w:r w:rsidRPr="00485152">
        <w:rPr>
          <w:sz w:val="20"/>
          <w:szCs w:val="20"/>
          <w:lang w:val="en-GB"/>
        </w:rPr>
        <w:t xml:space="preserve">, IACtHR, 4 September 2012, §289; </w:t>
      </w:r>
      <w:r w:rsidRPr="00485152">
        <w:rPr>
          <w:i/>
          <w:sz w:val="20"/>
          <w:szCs w:val="20"/>
          <w:lang w:val="en-GB"/>
        </w:rPr>
        <w:t>Nadege Dorzema et. al. v. Dominican Republi</w:t>
      </w:r>
      <w:r w:rsidRPr="00485152">
        <w:rPr>
          <w:sz w:val="20"/>
          <w:szCs w:val="20"/>
          <w:lang w:val="en-GB"/>
        </w:rPr>
        <w:t>c, IACtHR, 24 October 2012, §259.</w:t>
      </w:r>
    </w:p>
  </w:footnote>
  <w:footnote w:id="192">
    <w:p w14:paraId="3942B79B" w14:textId="77777777" w:rsidR="003A1201" w:rsidRPr="00485152" w:rsidRDefault="003A1201" w:rsidP="00D22395">
      <w:pPr>
        <w:pStyle w:val="FootnoteText"/>
        <w:numPr>
          <w:ilvl w:val="0"/>
          <w:numId w:val="0"/>
        </w:numPr>
        <w:rPr>
          <w:sz w:val="20"/>
          <w:szCs w:val="20"/>
          <w:lang w:val="nl-BE"/>
        </w:rPr>
      </w:pPr>
      <w:r w:rsidRPr="00485152">
        <w:rPr>
          <w:rStyle w:val="FootnoteReference"/>
          <w:sz w:val="20"/>
          <w:szCs w:val="20"/>
        </w:rPr>
        <w:footnoteRef/>
      </w:r>
      <w:r w:rsidRPr="00485152">
        <w:rPr>
          <w:sz w:val="20"/>
          <w:szCs w:val="20"/>
          <w:lang w:val="nl-BE"/>
        </w:rPr>
        <w:t xml:space="preserve"> Hypothetical case, p.9, §48.</w:t>
      </w:r>
    </w:p>
  </w:footnote>
  <w:footnote w:id="193">
    <w:p w14:paraId="4C0CC22F" w14:textId="43A7E7F7"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sz w:val="20"/>
          <w:szCs w:val="20"/>
        </w:rPr>
        <w:footnoteRef/>
      </w:r>
      <w:r w:rsidRPr="00485152">
        <w:rPr>
          <w:rFonts w:asciiTheme="majorBidi" w:hAnsiTheme="majorBidi" w:cstheme="majorBidi"/>
          <w:i/>
          <w:sz w:val="20"/>
          <w:szCs w:val="20"/>
          <w:lang w:val="en-US"/>
        </w:rPr>
        <w:t xml:space="preserve"> Statement of the Inter-American Commission on Human Rights on the Application and Scope of the Justice and Peace Law in Colombia</w:t>
      </w:r>
      <w:r w:rsidRPr="00485152">
        <w:rPr>
          <w:rFonts w:asciiTheme="majorBidi" w:hAnsiTheme="majorBidi" w:cstheme="majorBidi"/>
          <w:sz w:val="20"/>
          <w:szCs w:val="20"/>
          <w:lang w:val="en-US"/>
        </w:rPr>
        <w:t xml:space="preserve">, IACHR, 1 August 2006, §48; </w:t>
      </w:r>
      <w:r w:rsidRPr="00485152">
        <w:rPr>
          <w:rFonts w:asciiTheme="majorBidi" w:hAnsiTheme="majorBidi" w:cstheme="majorBidi"/>
          <w:i/>
          <w:sz w:val="20"/>
          <w:szCs w:val="20"/>
          <w:lang w:val="en-US"/>
        </w:rPr>
        <w:t>Blake v. Guatemala</w:t>
      </w:r>
      <w:r w:rsidRPr="00485152">
        <w:rPr>
          <w:rFonts w:asciiTheme="majorBidi" w:hAnsiTheme="majorBidi" w:cstheme="majorBidi"/>
          <w:sz w:val="20"/>
          <w:szCs w:val="20"/>
          <w:lang w:val="en-US"/>
        </w:rPr>
        <w:t xml:space="preserve">, IACtHR, 22 January 1999, §§31-32; </w:t>
      </w:r>
      <w:r w:rsidRPr="00485152">
        <w:rPr>
          <w:rFonts w:asciiTheme="majorBidi" w:hAnsiTheme="majorBidi" w:cstheme="majorBidi"/>
          <w:i/>
          <w:sz w:val="20"/>
          <w:szCs w:val="20"/>
          <w:lang w:val="en-US"/>
        </w:rPr>
        <w:t>González et al. (“Cotton Field”) v. Mexico</w:t>
      </w:r>
      <w:r w:rsidRPr="00485152">
        <w:rPr>
          <w:rFonts w:asciiTheme="majorBidi" w:hAnsiTheme="majorBidi" w:cstheme="majorBidi"/>
          <w:sz w:val="20"/>
          <w:szCs w:val="20"/>
          <w:lang w:val="en-US"/>
        </w:rPr>
        <w:t>, 16 November 2009, § 450;</w:t>
      </w:r>
      <w:r w:rsidRPr="00485152">
        <w:rPr>
          <w:rFonts w:asciiTheme="majorBidi" w:hAnsiTheme="majorBidi" w:cstheme="majorBidi"/>
          <w:i/>
          <w:sz w:val="20"/>
          <w:szCs w:val="20"/>
          <w:lang w:val="en-US"/>
        </w:rPr>
        <w:t xml:space="preserve"> González Medina and family v. Dominican Republic</w:t>
      </w:r>
      <w:r w:rsidRPr="00485152">
        <w:rPr>
          <w:rFonts w:asciiTheme="majorBidi" w:hAnsiTheme="majorBidi" w:cstheme="majorBidi"/>
          <w:sz w:val="20"/>
          <w:szCs w:val="20"/>
          <w:lang w:val="en-US"/>
        </w:rPr>
        <w:t>, IACtHR, 27 February 2012, §251.</w:t>
      </w:r>
    </w:p>
  </w:footnote>
  <w:footnote w:id="194">
    <w:p w14:paraId="4E14AFFF" w14:textId="77777777" w:rsidR="003A1201" w:rsidRPr="00485152" w:rsidRDefault="003A1201" w:rsidP="006D124B">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US"/>
        </w:rPr>
        <w:t xml:space="preserve"> Hypothetical, p.3, §14.</w:t>
      </w:r>
    </w:p>
  </w:footnote>
  <w:footnote w:id="195">
    <w:p w14:paraId="4225FE92" w14:textId="68355F06" w:rsidR="003A1201" w:rsidRPr="00485152" w:rsidRDefault="003A1201" w:rsidP="006D124B">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w:t>
      </w:r>
      <w:r w:rsidRPr="00485152">
        <w:rPr>
          <w:sz w:val="20"/>
          <w:szCs w:val="20"/>
          <w:lang w:val="nl-BE"/>
        </w:rPr>
        <w:t>Hypothetical, p.3, §17; p.10, §50.</w:t>
      </w:r>
    </w:p>
  </w:footnote>
  <w:footnote w:id="196">
    <w:p w14:paraId="208259BF" w14:textId="00A57503" w:rsidR="003A1201" w:rsidRPr="00485152" w:rsidRDefault="003A1201" w:rsidP="000D1F78">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Clarification Questions, no.32.</w:t>
      </w:r>
    </w:p>
  </w:footnote>
  <w:footnote w:id="197">
    <w:p w14:paraId="43B9B19A" w14:textId="77777777" w:rsidR="003A1201" w:rsidRPr="00485152" w:rsidRDefault="003A1201" w:rsidP="000D1F78">
      <w:pPr>
        <w:pStyle w:val="FootnoteText"/>
        <w:numPr>
          <w:ilvl w:val="0"/>
          <w:numId w:val="0"/>
        </w:numPr>
        <w:rPr>
          <w:sz w:val="20"/>
          <w:szCs w:val="20"/>
        </w:rPr>
      </w:pPr>
      <w:r w:rsidRPr="00485152">
        <w:rPr>
          <w:rStyle w:val="FootnoteReference"/>
          <w:sz w:val="20"/>
          <w:szCs w:val="20"/>
        </w:rPr>
        <w:footnoteRef/>
      </w:r>
      <w:r w:rsidRPr="00485152">
        <w:rPr>
          <w:sz w:val="20"/>
          <w:szCs w:val="20"/>
        </w:rPr>
        <w:t xml:space="preserve"> Hypothetical, p.3, §13.</w:t>
      </w:r>
    </w:p>
  </w:footnote>
  <w:footnote w:id="198">
    <w:p w14:paraId="45DF4A25" w14:textId="647516F9" w:rsidR="003A1201" w:rsidRPr="00485152" w:rsidRDefault="003A1201" w:rsidP="000D1F78">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Hypothetical, p.10, § 49.</w:t>
      </w:r>
    </w:p>
  </w:footnote>
  <w:footnote w:id="199">
    <w:p w14:paraId="60A6A270" w14:textId="547E7261" w:rsidR="003A1201" w:rsidRPr="00485152" w:rsidRDefault="003A1201" w:rsidP="000D1F78">
      <w:pPr>
        <w:pStyle w:val="FootnoteText"/>
        <w:numPr>
          <w:ilvl w:val="0"/>
          <w:numId w:val="0"/>
        </w:numPr>
        <w:rPr>
          <w:rFonts w:asciiTheme="majorBidi" w:hAnsiTheme="majorBidi" w:cstheme="majorBidi"/>
          <w:sz w:val="20"/>
          <w:szCs w:val="20"/>
          <w:lang w:val="en-GB"/>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GB"/>
        </w:rPr>
        <w:t xml:space="preserve"> Clarification Questions, no.4.</w:t>
      </w:r>
    </w:p>
  </w:footnote>
  <w:footnote w:id="200">
    <w:p w14:paraId="246DF58A" w14:textId="13F0047B" w:rsidR="003A1201" w:rsidRPr="00485152" w:rsidRDefault="003A1201" w:rsidP="000D1F78">
      <w:pPr>
        <w:pStyle w:val="FootnoteText"/>
        <w:numPr>
          <w:ilvl w:val="0"/>
          <w:numId w:val="0"/>
        </w:numPr>
        <w:rPr>
          <w:rFonts w:asciiTheme="majorBidi" w:hAnsiTheme="majorBidi" w:cstheme="majorBidi"/>
          <w:sz w:val="20"/>
          <w:szCs w:val="20"/>
          <w:lang w:val="en-US"/>
        </w:rPr>
      </w:pPr>
      <w:r w:rsidRPr="00485152">
        <w:rPr>
          <w:rStyle w:val="FootnoteReference"/>
          <w:rFonts w:asciiTheme="majorBidi" w:hAnsiTheme="majorBidi"/>
          <w:sz w:val="20"/>
          <w:szCs w:val="20"/>
        </w:rPr>
        <w:footnoteRef/>
      </w:r>
      <w:r w:rsidRPr="00485152">
        <w:rPr>
          <w:rFonts w:asciiTheme="majorBidi" w:hAnsiTheme="majorBidi" w:cstheme="majorBidi"/>
          <w:sz w:val="20"/>
          <w:szCs w:val="20"/>
          <w:lang w:val="en-US"/>
        </w:rPr>
        <w:t xml:space="preserve"> Hypothetical, p.3, §§16 and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8A037" w14:textId="286DCEFA" w:rsidR="003A1201" w:rsidRPr="00E351A5" w:rsidRDefault="003A1201" w:rsidP="00596824">
    <w:pPr>
      <w:pStyle w:val="Header"/>
      <w:numPr>
        <w:ilvl w:val="0"/>
        <w:numId w:val="0"/>
      </w:numPr>
      <w:rPr>
        <w:rFonts w:asciiTheme="majorBidi" w:hAnsiTheme="majorBidi" w:cstheme="majorBidi"/>
        <w:szCs w:val="24"/>
        <w:lang w:val="en-US"/>
      </w:rPr>
    </w:pPr>
    <w:r>
      <w:rPr>
        <w:rFonts w:asciiTheme="majorBidi" w:hAnsiTheme="majorBidi" w:cstheme="majorBidi"/>
        <w:szCs w:val="24"/>
        <w:lang w:val="en-US"/>
      </w:rPr>
      <w:t>Memorial for the State</w:t>
    </w:r>
    <w:r w:rsidRPr="00E351A5">
      <w:rPr>
        <w:rFonts w:asciiTheme="majorBidi" w:hAnsiTheme="majorBidi" w:cstheme="majorBidi"/>
        <w:lang w:val="en-US"/>
      </w:rPr>
      <w:tab/>
    </w:r>
    <w:r w:rsidRPr="00E351A5">
      <w:rPr>
        <w:rFonts w:asciiTheme="majorBidi" w:hAnsiTheme="majorBidi" w:cstheme="majorBidi"/>
        <w:lang w:val="en-US"/>
      </w:rPr>
      <w:tab/>
    </w:r>
    <w:r w:rsidRPr="00E351A5">
      <w:rPr>
        <w:rFonts w:asciiTheme="majorBidi" w:hAnsiTheme="majorBidi" w:cstheme="majorBidi"/>
        <w:szCs w:val="24"/>
        <w:lang w:val="en-GB"/>
      </w:rPr>
      <w:t>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CFA"/>
    <w:multiLevelType w:val="hybridMultilevel"/>
    <w:tmpl w:val="3E6E5AAE"/>
    <w:lvl w:ilvl="0" w:tplc="0409000F">
      <w:start w:val="1"/>
      <w:numFmt w:val="decimal"/>
      <w:lvlText w:val="%1."/>
      <w:lvlJc w:val="left"/>
      <w:pPr>
        <w:ind w:left="360" w:hanging="360"/>
      </w:pPr>
      <w:rPr>
        <w:rFonts w:hint="default"/>
      </w:rPr>
    </w:lvl>
    <w:lvl w:ilvl="1" w:tplc="04090019">
      <w:start w:val="1"/>
      <w:numFmt w:val="lowerLetter"/>
      <w:lvlText w:val="%2."/>
      <w:lvlJc w:val="left"/>
      <w:pPr>
        <w:ind w:left="928"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A815AE"/>
    <w:multiLevelType w:val="hybridMultilevel"/>
    <w:tmpl w:val="B3D6A98A"/>
    <w:lvl w:ilvl="0" w:tplc="D6B451B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527BE"/>
    <w:multiLevelType w:val="hybridMultilevel"/>
    <w:tmpl w:val="9704E48C"/>
    <w:lvl w:ilvl="0" w:tplc="D6B451B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12B0E"/>
    <w:multiLevelType w:val="hybridMultilevel"/>
    <w:tmpl w:val="335E1AF2"/>
    <w:lvl w:ilvl="0" w:tplc="800CABC0">
      <w:start w:val="1"/>
      <w:numFmt w:val="decimal"/>
      <w:pStyle w:val="Normal"/>
      <w:lvlText w:val="%1."/>
      <w:lvlJc w:val="left"/>
      <w:pPr>
        <w:ind w:left="0" w:firstLine="0"/>
      </w:pPr>
      <w:rPr>
        <w:rFonts w:ascii="Times New Roman" w:hAnsi="Times New Roman" w:hint="default"/>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50CE4"/>
    <w:multiLevelType w:val="multilevel"/>
    <w:tmpl w:val="F9361EE2"/>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95157"/>
    <w:multiLevelType w:val="hybridMultilevel"/>
    <w:tmpl w:val="0DF6D2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F62336D"/>
    <w:multiLevelType w:val="multilevel"/>
    <w:tmpl w:val="00B0982C"/>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7135C6"/>
    <w:multiLevelType w:val="hybridMultilevel"/>
    <w:tmpl w:val="5706E332"/>
    <w:lvl w:ilvl="0" w:tplc="D6B451B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A1595"/>
    <w:multiLevelType w:val="hybridMultilevel"/>
    <w:tmpl w:val="53208508"/>
    <w:lvl w:ilvl="0" w:tplc="D6B451B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8734D"/>
    <w:multiLevelType w:val="multilevel"/>
    <w:tmpl w:val="F1CE1B7E"/>
    <w:lvl w:ilvl="0">
      <w:start w:val="1"/>
      <w:numFmt w:val="upperRoman"/>
      <w:lvlText w:val="%1."/>
      <w:lvlJc w:val="left"/>
      <w:pPr>
        <w:ind w:left="1080" w:hanging="720"/>
      </w:pPr>
      <w:rPr>
        <w:rFonts w:hint="default"/>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4E46EF"/>
    <w:multiLevelType w:val="hybridMultilevel"/>
    <w:tmpl w:val="F1CE1B7E"/>
    <w:lvl w:ilvl="0" w:tplc="F3E8C292">
      <w:start w:val="1"/>
      <w:numFmt w:val="upperRoman"/>
      <w:pStyle w:val="Heading1"/>
      <w:lvlText w:val="%1."/>
      <w:lvlJc w:val="left"/>
      <w:pPr>
        <w:ind w:left="1080" w:hanging="720"/>
      </w:pPr>
      <w:rPr>
        <w:rFonts w:hint="default"/>
        <w:color w:val="auto"/>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1E14977"/>
    <w:multiLevelType w:val="multilevel"/>
    <w:tmpl w:val="37CC0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23E1FBC"/>
    <w:multiLevelType w:val="multilevel"/>
    <w:tmpl w:val="F1CE1B7E"/>
    <w:lvl w:ilvl="0">
      <w:start w:val="1"/>
      <w:numFmt w:val="upperRoman"/>
      <w:lvlText w:val="%1."/>
      <w:lvlJc w:val="left"/>
      <w:pPr>
        <w:ind w:left="1080" w:hanging="720"/>
      </w:pPr>
      <w:rPr>
        <w:rFonts w:hint="default"/>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171D8C"/>
    <w:multiLevelType w:val="multilevel"/>
    <w:tmpl w:val="582C2422"/>
    <w:lvl w:ilvl="0">
      <w:start w:val="1"/>
      <w:numFmt w:val="decimal"/>
      <w:pStyle w:val="Heading3"/>
      <w:lvlText w:val="%1."/>
      <w:lvlJc w:val="left"/>
      <w:pPr>
        <w:ind w:left="720" w:hanging="360"/>
      </w:pPr>
      <w:rPr>
        <w:rFonts w:hint="default"/>
      </w:rPr>
    </w:lvl>
    <w:lvl w:ilvl="1">
      <w:start w:val="2"/>
      <w:numFmt w:val="decimal"/>
      <w:isLgl/>
      <w:lvlText w:val="%2.1"/>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4" w15:restartNumberingAfterBreak="0">
    <w:nsid w:val="3656516D"/>
    <w:multiLevelType w:val="hybridMultilevel"/>
    <w:tmpl w:val="D7D46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A464C"/>
    <w:multiLevelType w:val="hybridMultilevel"/>
    <w:tmpl w:val="E98C53E6"/>
    <w:lvl w:ilvl="0" w:tplc="F5B49FC4">
      <w:start w:val="1"/>
      <w:numFmt w:val="decimal"/>
      <w:lvlText w:val="%1."/>
      <w:lvlJc w:val="left"/>
      <w:pPr>
        <w:tabs>
          <w:tab w:val="num" w:pos="720"/>
        </w:tabs>
        <w:ind w:left="0" w:firstLine="720"/>
      </w:pPr>
      <w:rPr>
        <w:rFonts w:ascii="Calibri" w:hAnsi="Calibri"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2283986">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9D66B2"/>
    <w:multiLevelType w:val="multilevel"/>
    <w:tmpl w:val="2E12F606"/>
    <w:lvl w:ilvl="0">
      <w:start w:val="1"/>
      <w:numFmt w:val="decimal"/>
      <w:lvlText w:val="%1."/>
      <w:lvlJc w:val="left"/>
      <w:pPr>
        <w:ind w:left="0" w:firstLine="0"/>
      </w:pPr>
      <w:rPr>
        <w:rFonts w:hint="default"/>
        <w:strike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9D786D"/>
    <w:multiLevelType w:val="multilevel"/>
    <w:tmpl w:val="F1CE1B7E"/>
    <w:lvl w:ilvl="0">
      <w:start w:val="1"/>
      <w:numFmt w:val="upperRoman"/>
      <w:lvlText w:val="%1."/>
      <w:lvlJc w:val="left"/>
      <w:pPr>
        <w:ind w:left="1080" w:hanging="720"/>
      </w:pPr>
      <w:rPr>
        <w:rFonts w:hint="default"/>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DA18FC"/>
    <w:multiLevelType w:val="multilevel"/>
    <w:tmpl w:val="3C46B024"/>
    <w:lvl w:ilvl="0">
      <w:start w:val="1"/>
      <w:numFmt w:val="decimal"/>
      <w:lvlText w:val="%1."/>
      <w:lvlJc w:val="left"/>
      <w:pPr>
        <w:ind w:left="720" w:hanging="360"/>
      </w:pPr>
      <w:rPr>
        <w:rFonts w:hint="default"/>
      </w:rPr>
    </w:lvl>
    <w:lvl w:ilvl="1">
      <w:start w:val="2"/>
      <w:numFmt w:val="decimal"/>
      <w:isLgl/>
      <w:lvlText w:val="%1"/>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9" w15:restartNumberingAfterBreak="0">
    <w:nsid w:val="3F816FE3"/>
    <w:multiLevelType w:val="multilevel"/>
    <w:tmpl w:val="F9361EE2"/>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0369C7"/>
    <w:multiLevelType w:val="hybridMultilevel"/>
    <w:tmpl w:val="FC20E570"/>
    <w:lvl w:ilvl="0" w:tplc="A2E0EB48">
      <w:start w:val="1"/>
      <w:numFmt w:val="upperLetter"/>
      <w:pStyle w:val="Heading2"/>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2445A9D"/>
    <w:multiLevelType w:val="hybridMultilevel"/>
    <w:tmpl w:val="FAC03F16"/>
    <w:lvl w:ilvl="0" w:tplc="B8B801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B56D3"/>
    <w:multiLevelType w:val="multilevel"/>
    <w:tmpl w:val="F4003CD0"/>
    <w:lvl w:ilvl="0">
      <w:start w:val="1"/>
      <w:numFmt w:val="upperRoman"/>
      <w:lvlText w:val="%1."/>
      <w:lvlJc w:val="left"/>
      <w:pPr>
        <w:ind w:left="1080" w:hanging="720"/>
      </w:pPr>
      <w:rPr>
        <w:rFonts w:ascii="Times New Roman" w:eastAsiaTheme="majorEastAsia"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7A285F"/>
    <w:multiLevelType w:val="multilevel"/>
    <w:tmpl w:val="EFBEF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EE604D6"/>
    <w:multiLevelType w:val="multilevel"/>
    <w:tmpl w:val="44A033C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11667D"/>
    <w:multiLevelType w:val="multilevel"/>
    <w:tmpl w:val="4EE8B26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2932608"/>
    <w:multiLevelType w:val="multilevel"/>
    <w:tmpl w:val="9404D6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A011A91"/>
    <w:multiLevelType w:val="multilevel"/>
    <w:tmpl w:val="EBB4169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5CC009CD"/>
    <w:multiLevelType w:val="hybridMultilevel"/>
    <w:tmpl w:val="7D744474"/>
    <w:lvl w:ilvl="0" w:tplc="D6B451B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9D7842"/>
    <w:multiLevelType w:val="hybridMultilevel"/>
    <w:tmpl w:val="D0807746"/>
    <w:lvl w:ilvl="0" w:tplc="758E6302">
      <w:start w:val="1"/>
      <w:numFmt w:val="decimal"/>
      <w:lvlText w:val="%1."/>
      <w:lvlJc w:val="left"/>
      <w:pPr>
        <w:ind w:left="720" w:hanging="360"/>
      </w:pPr>
      <w:rPr>
        <w:rFonts w:hint="default"/>
      </w:rPr>
    </w:lvl>
    <w:lvl w:ilvl="1" w:tplc="C1CEA412" w:tentative="1">
      <w:start w:val="1"/>
      <w:numFmt w:val="lowerLetter"/>
      <w:lvlText w:val="%2."/>
      <w:lvlJc w:val="left"/>
      <w:pPr>
        <w:ind w:left="1440" w:hanging="360"/>
      </w:pPr>
    </w:lvl>
    <w:lvl w:ilvl="2" w:tplc="CF243CC0" w:tentative="1">
      <w:start w:val="1"/>
      <w:numFmt w:val="lowerRoman"/>
      <w:lvlText w:val="%3."/>
      <w:lvlJc w:val="right"/>
      <w:pPr>
        <w:ind w:left="2160" w:hanging="180"/>
      </w:pPr>
    </w:lvl>
    <w:lvl w:ilvl="3" w:tplc="13CCCD54" w:tentative="1">
      <w:start w:val="1"/>
      <w:numFmt w:val="decimal"/>
      <w:lvlText w:val="%4."/>
      <w:lvlJc w:val="left"/>
      <w:pPr>
        <w:ind w:left="2880" w:hanging="360"/>
      </w:pPr>
    </w:lvl>
    <w:lvl w:ilvl="4" w:tplc="C4F210B6" w:tentative="1">
      <w:start w:val="1"/>
      <w:numFmt w:val="lowerLetter"/>
      <w:lvlText w:val="%5."/>
      <w:lvlJc w:val="left"/>
      <w:pPr>
        <w:ind w:left="3600" w:hanging="360"/>
      </w:pPr>
    </w:lvl>
    <w:lvl w:ilvl="5" w:tplc="989E868A" w:tentative="1">
      <w:start w:val="1"/>
      <w:numFmt w:val="lowerRoman"/>
      <w:lvlText w:val="%6."/>
      <w:lvlJc w:val="right"/>
      <w:pPr>
        <w:ind w:left="4320" w:hanging="180"/>
      </w:pPr>
    </w:lvl>
    <w:lvl w:ilvl="6" w:tplc="F7A048D4" w:tentative="1">
      <w:start w:val="1"/>
      <w:numFmt w:val="decimal"/>
      <w:lvlText w:val="%7."/>
      <w:lvlJc w:val="left"/>
      <w:pPr>
        <w:ind w:left="5040" w:hanging="360"/>
      </w:pPr>
    </w:lvl>
    <w:lvl w:ilvl="7" w:tplc="694E75A2" w:tentative="1">
      <w:start w:val="1"/>
      <w:numFmt w:val="lowerLetter"/>
      <w:lvlText w:val="%8."/>
      <w:lvlJc w:val="left"/>
      <w:pPr>
        <w:ind w:left="5760" w:hanging="360"/>
      </w:pPr>
    </w:lvl>
    <w:lvl w:ilvl="8" w:tplc="419E948C" w:tentative="1">
      <w:start w:val="1"/>
      <w:numFmt w:val="lowerRoman"/>
      <w:lvlText w:val="%9."/>
      <w:lvlJc w:val="right"/>
      <w:pPr>
        <w:ind w:left="6480" w:hanging="180"/>
      </w:pPr>
    </w:lvl>
  </w:abstractNum>
  <w:abstractNum w:abstractNumId="30" w15:restartNumberingAfterBreak="0">
    <w:nsid w:val="6FE31D2A"/>
    <w:multiLevelType w:val="multilevel"/>
    <w:tmpl w:val="2A66F788"/>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31" w15:restartNumberingAfterBreak="0">
    <w:nsid w:val="707F7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1F9397B"/>
    <w:multiLevelType w:val="hybridMultilevel"/>
    <w:tmpl w:val="E5326C96"/>
    <w:lvl w:ilvl="0" w:tplc="1B90D3EE">
      <w:start w:val="1"/>
      <w:numFmt w:val="upperLetter"/>
      <w:lvlText w:val="%1."/>
      <w:lvlJc w:val="left"/>
      <w:pPr>
        <w:ind w:left="720" w:hanging="360"/>
      </w:pPr>
      <w:rPr>
        <w:rFonts w:hint="default"/>
      </w:rPr>
    </w:lvl>
    <w:lvl w:ilvl="1" w:tplc="D1A40C54" w:tentative="1">
      <w:start w:val="1"/>
      <w:numFmt w:val="lowerLetter"/>
      <w:lvlText w:val="%2."/>
      <w:lvlJc w:val="left"/>
      <w:pPr>
        <w:ind w:left="1440" w:hanging="360"/>
      </w:pPr>
    </w:lvl>
    <w:lvl w:ilvl="2" w:tplc="65E0B3C8" w:tentative="1">
      <w:start w:val="1"/>
      <w:numFmt w:val="lowerRoman"/>
      <w:lvlText w:val="%3."/>
      <w:lvlJc w:val="right"/>
      <w:pPr>
        <w:ind w:left="2160" w:hanging="180"/>
      </w:pPr>
    </w:lvl>
    <w:lvl w:ilvl="3" w:tplc="A8C89FD8" w:tentative="1">
      <w:start w:val="1"/>
      <w:numFmt w:val="decimal"/>
      <w:lvlText w:val="%4."/>
      <w:lvlJc w:val="left"/>
      <w:pPr>
        <w:ind w:left="2880" w:hanging="360"/>
      </w:pPr>
    </w:lvl>
    <w:lvl w:ilvl="4" w:tplc="9E22F0DC" w:tentative="1">
      <w:start w:val="1"/>
      <w:numFmt w:val="lowerLetter"/>
      <w:lvlText w:val="%5."/>
      <w:lvlJc w:val="left"/>
      <w:pPr>
        <w:ind w:left="3600" w:hanging="360"/>
      </w:pPr>
    </w:lvl>
    <w:lvl w:ilvl="5" w:tplc="C2D84DC8" w:tentative="1">
      <w:start w:val="1"/>
      <w:numFmt w:val="lowerRoman"/>
      <w:lvlText w:val="%6."/>
      <w:lvlJc w:val="right"/>
      <w:pPr>
        <w:ind w:left="4320" w:hanging="180"/>
      </w:pPr>
    </w:lvl>
    <w:lvl w:ilvl="6" w:tplc="8578CD9C" w:tentative="1">
      <w:start w:val="1"/>
      <w:numFmt w:val="decimal"/>
      <w:lvlText w:val="%7."/>
      <w:lvlJc w:val="left"/>
      <w:pPr>
        <w:ind w:left="5040" w:hanging="360"/>
      </w:pPr>
    </w:lvl>
    <w:lvl w:ilvl="7" w:tplc="9528B8D6" w:tentative="1">
      <w:start w:val="1"/>
      <w:numFmt w:val="lowerLetter"/>
      <w:lvlText w:val="%8."/>
      <w:lvlJc w:val="left"/>
      <w:pPr>
        <w:ind w:left="5760" w:hanging="360"/>
      </w:pPr>
    </w:lvl>
    <w:lvl w:ilvl="8" w:tplc="868041C8" w:tentative="1">
      <w:start w:val="1"/>
      <w:numFmt w:val="lowerRoman"/>
      <w:lvlText w:val="%9."/>
      <w:lvlJc w:val="right"/>
      <w:pPr>
        <w:ind w:left="6480" w:hanging="180"/>
      </w:pPr>
    </w:lvl>
  </w:abstractNum>
  <w:abstractNum w:abstractNumId="33" w15:restartNumberingAfterBreak="0">
    <w:nsid w:val="738B7565"/>
    <w:multiLevelType w:val="multilevel"/>
    <w:tmpl w:val="4EE8B26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781173CE"/>
    <w:multiLevelType w:val="hybridMultilevel"/>
    <w:tmpl w:val="D116E204"/>
    <w:lvl w:ilvl="0" w:tplc="D6B451B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A613F"/>
    <w:multiLevelType w:val="hybridMultilevel"/>
    <w:tmpl w:val="128250EC"/>
    <w:lvl w:ilvl="0" w:tplc="D6B451B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76642"/>
    <w:multiLevelType w:val="hybridMultilevel"/>
    <w:tmpl w:val="FB626D5C"/>
    <w:lvl w:ilvl="0" w:tplc="C34AA4FA">
      <w:start w:val="1"/>
      <w:numFmt w:val="lowerRoman"/>
      <w:pStyle w:val="Heading5"/>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FC1371"/>
    <w:multiLevelType w:val="hybridMultilevel"/>
    <w:tmpl w:val="FF7CE5AE"/>
    <w:lvl w:ilvl="0" w:tplc="DDB65200">
      <w:start w:val="1"/>
      <w:numFmt w:val="decimal"/>
      <w:lvlText w:val="%1."/>
      <w:lvlJc w:val="left"/>
      <w:pPr>
        <w:tabs>
          <w:tab w:val="num" w:pos="900"/>
        </w:tabs>
        <w:ind w:left="-180" w:firstLine="720"/>
      </w:pPr>
      <w:rPr>
        <w:rFonts w:ascii="Univers" w:hAnsi="Univers" w:hint="default"/>
        <w:b w:val="0"/>
        <w:i w:val="0"/>
        <w:color w:val="auto"/>
        <w:sz w:val="22"/>
        <w:szCs w:val="22"/>
      </w:rPr>
    </w:lvl>
    <w:lvl w:ilvl="1" w:tplc="43D4987A">
      <w:start w:val="22"/>
      <w:numFmt w:val="decimal"/>
      <w:lvlText w:val="%2."/>
      <w:lvlJc w:val="left"/>
      <w:pPr>
        <w:tabs>
          <w:tab w:val="num" w:pos="2565"/>
        </w:tabs>
        <w:ind w:left="2565" w:hanging="14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2C1E60"/>
    <w:multiLevelType w:val="hybridMultilevel"/>
    <w:tmpl w:val="23166764"/>
    <w:lvl w:ilvl="0" w:tplc="D6B451BA">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20"/>
  </w:num>
  <w:num w:numId="4">
    <w:abstractNumId w:val="29"/>
  </w:num>
  <w:num w:numId="5">
    <w:abstractNumId w:val="5"/>
  </w:num>
  <w:num w:numId="6">
    <w:abstractNumId w:val="14"/>
  </w:num>
  <w:num w:numId="7">
    <w:abstractNumId w:val="13"/>
  </w:num>
  <w:num w:numId="8">
    <w:abstractNumId w:val="22"/>
  </w:num>
  <w:num w:numId="9">
    <w:abstractNumId w:val="27"/>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3"/>
  </w:num>
  <w:num w:numId="14">
    <w:abstractNumId w:val="25"/>
  </w:num>
  <w:num w:numId="15">
    <w:abstractNumId w:val="19"/>
  </w:num>
  <w:num w:numId="16">
    <w:abstractNumId w:val="4"/>
  </w:num>
  <w:num w:numId="17">
    <w:abstractNumId w:val="6"/>
  </w:num>
  <w:num w:numId="18">
    <w:abstractNumId w:val="7"/>
  </w:num>
  <w:num w:numId="19">
    <w:abstractNumId w:val="3"/>
  </w:num>
  <w:num w:numId="20">
    <w:abstractNumId w:val="3"/>
  </w:num>
  <w:num w:numId="21">
    <w:abstractNumId w:val="28"/>
  </w:num>
  <w:num w:numId="22">
    <w:abstractNumId w:val="8"/>
  </w:num>
  <w:num w:numId="23">
    <w:abstractNumId w:val="38"/>
  </w:num>
  <w:num w:numId="24">
    <w:abstractNumId w:val="35"/>
  </w:num>
  <w:num w:numId="25">
    <w:abstractNumId w:val="34"/>
  </w:num>
  <w:num w:numId="26">
    <w:abstractNumId w:val="23"/>
  </w:num>
  <w:num w:numId="27">
    <w:abstractNumId w:val="16"/>
  </w:num>
  <w:num w:numId="28">
    <w:abstractNumId w:val="36"/>
  </w:num>
  <w:num w:numId="29">
    <w:abstractNumId w:val="21"/>
  </w:num>
  <w:num w:numId="30">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8"/>
  </w:num>
  <w:num w:numId="34">
    <w:abstractNumId w:val="36"/>
    <w:lvlOverride w:ilvl="0">
      <w:startOverride w:val="1"/>
    </w:lvlOverride>
  </w:num>
  <w:num w:numId="35">
    <w:abstractNumId w:val="36"/>
    <w:lvlOverride w:ilvl="0">
      <w:startOverride w:val="1"/>
    </w:lvlOverride>
  </w:num>
  <w:num w:numId="36">
    <w:abstractNumId w:val="36"/>
    <w:lvlOverride w:ilvl="0">
      <w:startOverride w:val="1"/>
    </w:lvlOverride>
  </w:num>
  <w:num w:numId="37">
    <w:abstractNumId w:val="12"/>
  </w:num>
  <w:num w:numId="38">
    <w:abstractNumId w:val="17"/>
  </w:num>
  <w:num w:numId="39">
    <w:abstractNumId w:val="9"/>
  </w:num>
  <w:num w:numId="40">
    <w:abstractNumId w:val="31"/>
  </w:num>
  <w:num w:numId="41">
    <w:abstractNumId w:val="15"/>
  </w:num>
  <w:num w:numId="42">
    <w:abstractNumId w:val="37"/>
  </w:num>
  <w:num w:numId="43">
    <w:abstractNumId w:val="11"/>
  </w:num>
  <w:num w:numId="44">
    <w:abstractNumId w:val="3"/>
  </w:num>
  <w:num w:numId="45">
    <w:abstractNumId w:val="3"/>
  </w:num>
  <w:num w:numId="46">
    <w:abstractNumId w:val="26"/>
  </w:num>
  <w:num w:numId="47">
    <w:abstractNumId w:val="2"/>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284"/>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14"/>
    <w:rsid w:val="00002AAE"/>
    <w:rsid w:val="000051C5"/>
    <w:rsid w:val="00023D9D"/>
    <w:rsid w:val="00046D8C"/>
    <w:rsid w:val="0005431B"/>
    <w:rsid w:val="00055B1C"/>
    <w:rsid w:val="000631AB"/>
    <w:rsid w:val="00076B2D"/>
    <w:rsid w:val="000C31F9"/>
    <w:rsid w:val="000D1F78"/>
    <w:rsid w:val="001151D0"/>
    <w:rsid w:val="0012247C"/>
    <w:rsid w:val="00181BDE"/>
    <w:rsid w:val="001A20CD"/>
    <w:rsid w:val="001B6159"/>
    <w:rsid w:val="001D4018"/>
    <w:rsid w:val="001D5DB9"/>
    <w:rsid w:val="001D7BDC"/>
    <w:rsid w:val="002113DD"/>
    <w:rsid w:val="0022391A"/>
    <w:rsid w:val="002334B8"/>
    <w:rsid w:val="002337BF"/>
    <w:rsid w:val="00235A9E"/>
    <w:rsid w:val="002452EA"/>
    <w:rsid w:val="00250877"/>
    <w:rsid w:val="0028014E"/>
    <w:rsid w:val="00284142"/>
    <w:rsid w:val="002A4C27"/>
    <w:rsid w:val="002C7580"/>
    <w:rsid w:val="002D0C66"/>
    <w:rsid w:val="002D2749"/>
    <w:rsid w:val="002E1278"/>
    <w:rsid w:val="002E39AB"/>
    <w:rsid w:val="002E74B1"/>
    <w:rsid w:val="002E7B70"/>
    <w:rsid w:val="002F3C7D"/>
    <w:rsid w:val="002F497C"/>
    <w:rsid w:val="003018FF"/>
    <w:rsid w:val="0030600D"/>
    <w:rsid w:val="0031205D"/>
    <w:rsid w:val="003124CE"/>
    <w:rsid w:val="003156AF"/>
    <w:rsid w:val="00327A5D"/>
    <w:rsid w:val="0033704D"/>
    <w:rsid w:val="00337824"/>
    <w:rsid w:val="00353CF4"/>
    <w:rsid w:val="00357FD5"/>
    <w:rsid w:val="003649A7"/>
    <w:rsid w:val="003828E0"/>
    <w:rsid w:val="00393179"/>
    <w:rsid w:val="003942C0"/>
    <w:rsid w:val="003A1201"/>
    <w:rsid w:val="003A54B5"/>
    <w:rsid w:val="003A7111"/>
    <w:rsid w:val="003B2950"/>
    <w:rsid w:val="003B4D3E"/>
    <w:rsid w:val="003B7073"/>
    <w:rsid w:val="003D55DE"/>
    <w:rsid w:val="003E4ECA"/>
    <w:rsid w:val="003F1010"/>
    <w:rsid w:val="004041C1"/>
    <w:rsid w:val="00415CCD"/>
    <w:rsid w:val="004449A3"/>
    <w:rsid w:val="004509AE"/>
    <w:rsid w:val="00465587"/>
    <w:rsid w:val="0047712B"/>
    <w:rsid w:val="00485152"/>
    <w:rsid w:val="004A4AF8"/>
    <w:rsid w:val="004E0F69"/>
    <w:rsid w:val="005131CE"/>
    <w:rsid w:val="00520E94"/>
    <w:rsid w:val="0054224E"/>
    <w:rsid w:val="00587F0E"/>
    <w:rsid w:val="00596824"/>
    <w:rsid w:val="005A5483"/>
    <w:rsid w:val="005B47A9"/>
    <w:rsid w:val="005B70C1"/>
    <w:rsid w:val="005E58A6"/>
    <w:rsid w:val="006427FC"/>
    <w:rsid w:val="00676FEF"/>
    <w:rsid w:val="006961F8"/>
    <w:rsid w:val="006B0127"/>
    <w:rsid w:val="006C1241"/>
    <w:rsid w:val="006C1B5F"/>
    <w:rsid w:val="006D124B"/>
    <w:rsid w:val="006D177C"/>
    <w:rsid w:val="00717753"/>
    <w:rsid w:val="00733940"/>
    <w:rsid w:val="00740802"/>
    <w:rsid w:val="0074112E"/>
    <w:rsid w:val="00762A99"/>
    <w:rsid w:val="00765623"/>
    <w:rsid w:val="00766373"/>
    <w:rsid w:val="00770BF5"/>
    <w:rsid w:val="00781CF0"/>
    <w:rsid w:val="007C38B0"/>
    <w:rsid w:val="007D2F0F"/>
    <w:rsid w:val="007F153C"/>
    <w:rsid w:val="008308C4"/>
    <w:rsid w:val="008405AA"/>
    <w:rsid w:val="008539BB"/>
    <w:rsid w:val="0086538F"/>
    <w:rsid w:val="008740AF"/>
    <w:rsid w:val="00885A7B"/>
    <w:rsid w:val="00887808"/>
    <w:rsid w:val="00893C38"/>
    <w:rsid w:val="008E6E8E"/>
    <w:rsid w:val="009030FB"/>
    <w:rsid w:val="00916F83"/>
    <w:rsid w:val="009219CF"/>
    <w:rsid w:val="00933D6E"/>
    <w:rsid w:val="00943D17"/>
    <w:rsid w:val="00954902"/>
    <w:rsid w:val="00967B53"/>
    <w:rsid w:val="00971665"/>
    <w:rsid w:val="009A2ED6"/>
    <w:rsid w:val="009B0841"/>
    <w:rsid w:val="009C29FC"/>
    <w:rsid w:val="009D7765"/>
    <w:rsid w:val="009E6AB7"/>
    <w:rsid w:val="009F48B1"/>
    <w:rsid w:val="00A21AB3"/>
    <w:rsid w:val="00A572BD"/>
    <w:rsid w:val="00A656BC"/>
    <w:rsid w:val="00A70BFC"/>
    <w:rsid w:val="00A7350E"/>
    <w:rsid w:val="00A75DC0"/>
    <w:rsid w:val="00AC156D"/>
    <w:rsid w:val="00AD1FE0"/>
    <w:rsid w:val="00AD53F1"/>
    <w:rsid w:val="00AE51B0"/>
    <w:rsid w:val="00B05CCB"/>
    <w:rsid w:val="00B203DE"/>
    <w:rsid w:val="00B25969"/>
    <w:rsid w:val="00B31FF3"/>
    <w:rsid w:val="00B71631"/>
    <w:rsid w:val="00B96058"/>
    <w:rsid w:val="00BA7CE1"/>
    <w:rsid w:val="00BC2EB8"/>
    <w:rsid w:val="00BC7C99"/>
    <w:rsid w:val="00BD3C49"/>
    <w:rsid w:val="00BE3A14"/>
    <w:rsid w:val="00BF6C62"/>
    <w:rsid w:val="00C53226"/>
    <w:rsid w:val="00C55C68"/>
    <w:rsid w:val="00C80BA7"/>
    <w:rsid w:val="00C822A7"/>
    <w:rsid w:val="00C82E30"/>
    <w:rsid w:val="00C86D54"/>
    <w:rsid w:val="00CA6E96"/>
    <w:rsid w:val="00CD1168"/>
    <w:rsid w:val="00CD1557"/>
    <w:rsid w:val="00CE03B0"/>
    <w:rsid w:val="00CE461F"/>
    <w:rsid w:val="00CE7ACC"/>
    <w:rsid w:val="00D04E91"/>
    <w:rsid w:val="00D15847"/>
    <w:rsid w:val="00D21FBD"/>
    <w:rsid w:val="00D22395"/>
    <w:rsid w:val="00D242EA"/>
    <w:rsid w:val="00D2477B"/>
    <w:rsid w:val="00D32D99"/>
    <w:rsid w:val="00D35566"/>
    <w:rsid w:val="00D54635"/>
    <w:rsid w:val="00D94690"/>
    <w:rsid w:val="00DA1359"/>
    <w:rsid w:val="00DB25A5"/>
    <w:rsid w:val="00DC464B"/>
    <w:rsid w:val="00DD3C3B"/>
    <w:rsid w:val="00DF3FC7"/>
    <w:rsid w:val="00E02AE4"/>
    <w:rsid w:val="00E02CF9"/>
    <w:rsid w:val="00E048F0"/>
    <w:rsid w:val="00E052BE"/>
    <w:rsid w:val="00E209C8"/>
    <w:rsid w:val="00E7033E"/>
    <w:rsid w:val="00E76220"/>
    <w:rsid w:val="00E92D2B"/>
    <w:rsid w:val="00EA796A"/>
    <w:rsid w:val="00EB224A"/>
    <w:rsid w:val="00EB292A"/>
    <w:rsid w:val="00EB295F"/>
    <w:rsid w:val="00EC3EFE"/>
    <w:rsid w:val="00EE1F0C"/>
    <w:rsid w:val="00EE3F3D"/>
    <w:rsid w:val="00EE4119"/>
    <w:rsid w:val="00EF5B4E"/>
    <w:rsid w:val="00F00A5F"/>
    <w:rsid w:val="00F22E99"/>
    <w:rsid w:val="00F32F6E"/>
    <w:rsid w:val="00F421AC"/>
    <w:rsid w:val="00F5454B"/>
    <w:rsid w:val="00F642A4"/>
    <w:rsid w:val="00F647C2"/>
    <w:rsid w:val="00F7062B"/>
    <w:rsid w:val="00F75A53"/>
    <w:rsid w:val="00FB1601"/>
    <w:rsid w:val="00FB189B"/>
    <w:rsid w:val="00FB2AAF"/>
    <w:rsid w:val="00FC66CD"/>
    <w:rsid w:val="00FD0DCE"/>
    <w:rsid w:val="00FD439C"/>
    <w:rsid w:val="00FE45F0"/>
    <w:rsid w:val="00FF1411"/>
    <w:rsid w:val="00FF5D3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5B34F"/>
  <w14:defaultImageDpi w14:val="300"/>
  <w15:docId w15:val="{7E2CE55A-15D9-460E-B77A-C78FE727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7D"/>
    <w:pPr>
      <w:numPr>
        <w:numId w:val="13"/>
      </w:numPr>
      <w:spacing w:after="200" w:line="480" w:lineRule="auto"/>
      <w:jc w:val="both"/>
    </w:pPr>
    <w:rPr>
      <w:rFonts w:ascii="Times New Roman" w:hAnsi="Times New Roman"/>
      <w:szCs w:val="22"/>
      <w:lang w:val="nl-BE" w:eastAsia="zh-TW" w:bidi="he-IL"/>
    </w:rPr>
  </w:style>
  <w:style w:type="paragraph" w:styleId="Heading1">
    <w:name w:val="heading 1"/>
    <w:basedOn w:val="Normal"/>
    <w:next w:val="Normal"/>
    <w:link w:val="Heading1Char"/>
    <w:uiPriority w:val="9"/>
    <w:qFormat/>
    <w:rsid w:val="004509AE"/>
    <w:pPr>
      <w:keepNext/>
      <w:keepLines/>
      <w:numPr>
        <w:numId w:val="11"/>
      </w:numPr>
      <w:spacing w:before="240" w:after="120"/>
      <w:ind w:left="1077"/>
      <w:outlineLvl w:val="0"/>
    </w:pPr>
    <w:rPr>
      <w:rFonts w:asciiTheme="majorBidi" w:eastAsiaTheme="majorEastAsia" w:hAnsiTheme="majorBidi" w:cstheme="majorBidi"/>
      <w:b/>
      <w:bCs/>
      <w:sz w:val="28"/>
      <w:szCs w:val="28"/>
      <w:u w:val="single"/>
    </w:rPr>
  </w:style>
  <w:style w:type="paragraph" w:styleId="Heading2">
    <w:name w:val="heading 2"/>
    <w:basedOn w:val="Normal"/>
    <w:next w:val="Normal"/>
    <w:link w:val="Heading2Char"/>
    <w:uiPriority w:val="9"/>
    <w:unhideWhenUsed/>
    <w:qFormat/>
    <w:rsid w:val="004509AE"/>
    <w:pPr>
      <w:keepNext/>
      <w:keepLines/>
      <w:numPr>
        <w:numId w:val="3"/>
      </w:numPr>
      <w:spacing w:after="120"/>
      <w:ind w:left="714" w:hanging="357"/>
      <w:outlineLvl w:val="1"/>
    </w:pPr>
    <w:rPr>
      <w:rFonts w:asciiTheme="majorBidi" w:eastAsiaTheme="majorEastAsia" w:hAnsiTheme="majorBidi" w:cstheme="majorBidi"/>
      <w:b/>
      <w:bCs/>
      <w:sz w:val="26"/>
      <w:szCs w:val="26"/>
    </w:rPr>
  </w:style>
  <w:style w:type="paragraph" w:styleId="Heading3">
    <w:name w:val="heading 3"/>
    <w:basedOn w:val="Normal"/>
    <w:next w:val="Normal"/>
    <w:link w:val="Heading3Char"/>
    <w:unhideWhenUsed/>
    <w:qFormat/>
    <w:rsid w:val="00D2477B"/>
    <w:pPr>
      <w:keepNext/>
      <w:keepLines/>
      <w:numPr>
        <w:numId w:val="7"/>
      </w:numPr>
      <w:spacing w:after="0"/>
      <w:ind w:left="284"/>
      <w:outlineLvl w:val="2"/>
    </w:pPr>
    <w:rPr>
      <w:rFonts w:eastAsiaTheme="majorEastAsia" w:cs="Times New Roman"/>
      <w:b/>
      <w:bCs/>
      <w:szCs w:val="24"/>
      <w:lang w:val="en-US"/>
    </w:rPr>
  </w:style>
  <w:style w:type="paragraph" w:styleId="Heading4">
    <w:name w:val="heading 4"/>
    <w:basedOn w:val="Normal"/>
    <w:next w:val="Normal"/>
    <w:link w:val="Heading4Char"/>
    <w:uiPriority w:val="9"/>
    <w:unhideWhenUsed/>
    <w:qFormat/>
    <w:rsid w:val="00D2477B"/>
    <w:pPr>
      <w:keepNext/>
      <w:keepLines/>
      <w:numPr>
        <w:numId w:val="0"/>
      </w:numPr>
      <w:spacing w:after="0"/>
      <w:ind w:left="284"/>
      <w:outlineLvl w:val="3"/>
    </w:pPr>
    <w:rPr>
      <w:rFonts w:eastAsiaTheme="majorEastAsia" w:cs="Times New Roman"/>
      <w:b/>
      <w:bCs/>
      <w:i/>
      <w:iCs/>
      <w:szCs w:val="24"/>
      <w:lang w:val="en-US"/>
    </w:rPr>
  </w:style>
  <w:style w:type="paragraph" w:styleId="Heading5">
    <w:name w:val="heading 5"/>
    <w:basedOn w:val="Normal"/>
    <w:next w:val="Normal"/>
    <w:link w:val="Heading5Char"/>
    <w:uiPriority w:val="9"/>
    <w:unhideWhenUsed/>
    <w:qFormat/>
    <w:rsid w:val="004449A3"/>
    <w:pPr>
      <w:keepNext/>
      <w:keepLines/>
      <w:numPr>
        <w:numId w:val="28"/>
      </w:numPr>
      <w:spacing w:after="0"/>
      <w:ind w:left="714" w:hanging="357"/>
      <w:outlineLvl w:val="4"/>
    </w:pPr>
    <w:rPr>
      <w:rFonts w:eastAsiaTheme="majorEastAsia"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9AE"/>
    <w:rPr>
      <w:rFonts w:asciiTheme="majorBidi" w:eastAsiaTheme="majorEastAsia" w:hAnsiTheme="majorBidi" w:cstheme="majorBidi"/>
      <w:b/>
      <w:bCs/>
      <w:sz w:val="28"/>
      <w:szCs w:val="28"/>
      <w:u w:val="single"/>
      <w:lang w:val="nl-BE" w:eastAsia="zh-TW" w:bidi="he-IL"/>
    </w:rPr>
  </w:style>
  <w:style w:type="character" w:customStyle="1" w:styleId="Heading2Char">
    <w:name w:val="Heading 2 Char"/>
    <w:basedOn w:val="DefaultParagraphFont"/>
    <w:link w:val="Heading2"/>
    <w:uiPriority w:val="9"/>
    <w:rsid w:val="004509AE"/>
    <w:rPr>
      <w:rFonts w:asciiTheme="majorBidi" w:eastAsiaTheme="majorEastAsia" w:hAnsiTheme="majorBidi" w:cstheme="majorBidi"/>
      <w:b/>
      <w:bCs/>
      <w:sz w:val="26"/>
      <w:szCs w:val="26"/>
      <w:lang w:val="nl-BE" w:eastAsia="zh-TW" w:bidi="he-IL"/>
    </w:rPr>
  </w:style>
  <w:style w:type="character" w:customStyle="1" w:styleId="Heading3Char">
    <w:name w:val="Heading 3 Char"/>
    <w:basedOn w:val="DefaultParagraphFont"/>
    <w:link w:val="Heading3"/>
    <w:rsid w:val="00D2477B"/>
    <w:rPr>
      <w:rFonts w:ascii="Times New Roman" w:eastAsiaTheme="majorEastAsia" w:hAnsi="Times New Roman" w:cs="Times New Roman"/>
      <w:b/>
      <w:bCs/>
      <w:lang w:val="en-US" w:eastAsia="zh-TW" w:bidi="he-IL"/>
    </w:rPr>
  </w:style>
  <w:style w:type="character" w:customStyle="1" w:styleId="Heading4Char">
    <w:name w:val="Heading 4 Char"/>
    <w:basedOn w:val="DefaultParagraphFont"/>
    <w:link w:val="Heading4"/>
    <w:uiPriority w:val="9"/>
    <w:rsid w:val="00D2477B"/>
    <w:rPr>
      <w:rFonts w:ascii="Times New Roman" w:eastAsiaTheme="majorEastAsia" w:hAnsi="Times New Roman" w:cs="Times New Roman"/>
      <w:b/>
      <w:bCs/>
      <w:i/>
      <w:iCs/>
      <w:lang w:val="en-US" w:eastAsia="zh-TW" w:bidi="he-IL"/>
    </w:rPr>
  </w:style>
  <w:style w:type="paragraph" w:styleId="TOCHeading">
    <w:name w:val="TOC Heading"/>
    <w:basedOn w:val="Heading1"/>
    <w:next w:val="Normal"/>
    <w:uiPriority w:val="39"/>
    <w:unhideWhenUsed/>
    <w:qFormat/>
    <w:rsid w:val="00BE3A14"/>
    <w:pPr>
      <w:outlineLvl w:val="9"/>
    </w:pPr>
    <w:rPr>
      <w:lang w:val="nl-NL" w:eastAsia="en-US" w:bidi="ar-SA"/>
    </w:rPr>
  </w:style>
  <w:style w:type="paragraph" w:styleId="TOC1">
    <w:name w:val="toc 1"/>
    <w:basedOn w:val="Normal"/>
    <w:next w:val="Normal"/>
    <w:autoRedefine/>
    <w:uiPriority w:val="39"/>
    <w:unhideWhenUsed/>
    <w:qFormat/>
    <w:rsid w:val="004449A3"/>
    <w:pPr>
      <w:numPr>
        <w:numId w:val="0"/>
      </w:numPr>
      <w:spacing w:before="120" w:after="0"/>
    </w:pPr>
    <w:rPr>
      <w:rFonts w:asciiTheme="minorHAnsi" w:hAnsiTheme="minorHAnsi"/>
      <w:b/>
      <w:szCs w:val="24"/>
    </w:rPr>
  </w:style>
  <w:style w:type="character" w:styleId="Hyperlink">
    <w:name w:val="Hyperlink"/>
    <w:basedOn w:val="DefaultParagraphFont"/>
    <w:uiPriority w:val="99"/>
    <w:unhideWhenUsed/>
    <w:rsid w:val="00BE3A14"/>
    <w:rPr>
      <w:color w:val="0000FF" w:themeColor="hyperlink"/>
      <w:u w:val="single"/>
    </w:rPr>
  </w:style>
  <w:style w:type="paragraph" w:styleId="BalloonText">
    <w:name w:val="Balloon Text"/>
    <w:basedOn w:val="Normal"/>
    <w:link w:val="BalloonTextChar"/>
    <w:uiPriority w:val="99"/>
    <w:semiHidden/>
    <w:unhideWhenUsed/>
    <w:rsid w:val="00BE3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A14"/>
    <w:rPr>
      <w:rFonts w:ascii="Tahoma" w:hAnsi="Tahoma" w:cs="Tahoma"/>
      <w:sz w:val="16"/>
      <w:szCs w:val="16"/>
      <w:lang w:val="nl-BE" w:eastAsia="zh-TW" w:bidi="he-IL"/>
    </w:rPr>
  </w:style>
  <w:style w:type="paragraph" w:styleId="ListParagraph">
    <w:name w:val="List Paragraph"/>
    <w:basedOn w:val="Normal"/>
    <w:uiPriority w:val="34"/>
    <w:qFormat/>
    <w:rsid w:val="00BE3A14"/>
    <w:pPr>
      <w:contextualSpacing/>
    </w:pPr>
  </w:style>
  <w:style w:type="paragraph" w:styleId="FootnoteText">
    <w:name w:val="footnote text"/>
    <w:aliases w:val="Footnote Text Char Char Char Char Char,Footnote Text Char Char Char Char,Footnote reference,FA Fu"/>
    <w:basedOn w:val="Normal"/>
    <w:link w:val="FootnoteTextChar"/>
    <w:uiPriority w:val="99"/>
    <w:unhideWhenUsed/>
    <w:rsid w:val="00BE3A14"/>
    <w:pPr>
      <w:spacing w:after="0" w:line="240" w:lineRule="auto"/>
    </w:pPr>
    <w:rPr>
      <w:rFonts w:cs="Times New Roman"/>
      <w:szCs w:val="24"/>
      <w:lang w:val="nl-NL" w:eastAsia="en-US" w:bidi="ar-SA"/>
    </w:rPr>
  </w:style>
  <w:style w:type="character" w:customStyle="1" w:styleId="FootnoteTextChar">
    <w:name w:val="Footnote Text Char"/>
    <w:aliases w:val="Footnote Text Char Char Char Char Char Char,Footnote Text Char Char Char Char Char1,Footnote reference Char,FA Fu Char"/>
    <w:basedOn w:val="DefaultParagraphFont"/>
    <w:link w:val="FootnoteText"/>
    <w:uiPriority w:val="99"/>
    <w:rsid w:val="00BE3A14"/>
    <w:rPr>
      <w:rFonts w:ascii="Times New Roman" w:hAnsi="Times New Roman" w:cs="Times New Roman"/>
    </w:rPr>
  </w:style>
  <w:style w:type="character" w:styleId="FootnoteReference">
    <w:name w:val="footnote reference"/>
    <w:aliases w:val="Footnotes refss,Texto de nota al pie,Appel note de bas de page,f"/>
    <w:basedOn w:val="DefaultParagraphFont"/>
    <w:uiPriority w:val="99"/>
    <w:unhideWhenUsed/>
    <w:rsid w:val="00BE3A14"/>
    <w:rPr>
      <w:vertAlign w:val="superscript"/>
    </w:rPr>
  </w:style>
  <w:style w:type="paragraph" w:styleId="TOC2">
    <w:name w:val="toc 2"/>
    <w:basedOn w:val="Normal"/>
    <w:next w:val="Normal"/>
    <w:autoRedefine/>
    <w:uiPriority w:val="39"/>
    <w:unhideWhenUsed/>
    <w:qFormat/>
    <w:rsid w:val="004449A3"/>
    <w:pPr>
      <w:numPr>
        <w:numId w:val="0"/>
      </w:numPr>
      <w:spacing w:after="0"/>
    </w:pPr>
    <w:rPr>
      <w:rFonts w:asciiTheme="minorHAnsi" w:hAnsiTheme="minorHAnsi"/>
      <w:b/>
      <w:sz w:val="22"/>
    </w:rPr>
  </w:style>
  <w:style w:type="paragraph" w:styleId="TOC3">
    <w:name w:val="toc 3"/>
    <w:basedOn w:val="Normal"/>
    <w:next w:val="Normal"/>
    <w:autoRedefine/>
    <w:uiPriority w:val="39"/>
    <w:unhideWhenUsed/>
    <w:qFormat/>
    <w:rsid w:val="004449A3"/>
    <w:pPr>
      <w:numPr>
        <w:numId w:val="0"/>
      </w:numPr>
      <w:spacing w:after="0"/>
    </w:pPr>
    <w:rPr>
      <w:rFonts w:asciiTheme="minorHAnsi" w:hAnsiTheme="minorHAnsi"/>
      <w:sz w:val="22"/>
    </w:rPr>
  </w:style>
  <w:style w:type="character" w:styleId="Emphasis">
    <w:name w:val="Emphasis"/>
    <w:basedOn w:val="DefaultParagraphFont"/>
    <w:uiPriority w:val="20"/>
    <w:qFormat/>
    <w:rsid w:val="00BE3A14"/>
    <w:rPr>
      <w:i/>
      <w:iCs/>
    </w:rPr>
  </w:style>
  <w:style w:type="character" w:customStyle="1" w:styleId="st">
    <w:name w:val="st"/>
    <w:basedOn w:val="DefaultParagraphFont"/>
    <w:rsid w:val="00BE3A14"/>
  </w:style>
  <w:style w:type="paragraph" w:styleId="TOC4">
    <w:name w:val="toc 4"/>
    <w:basedOn w:val="Normal"/>
    <w:next w:val="Normal"/>
    <w:autoRedefine/>
    <w:uiPriority w:val="39"/>
    <w:unhideWhenUsed/>
    <w:rsid w:val="004449A3"/>
    <w:pPr>
      <w:numPr>
        <w:numId w:val="0"/>
      </w:numPr>
      <w:tabs>
        <w:tab w:val="right" w:leader="dot" w:pos="9062"/>
      </w:tabs>
      <w:spacing w:after="0"/>
      <w:ind w:left="284"/>
    </w:pPr>
    <w:rPr>
      <w:rFonts w:asciiTheme="minorHAnsi" w:hAnsiTheme="minorHAnsi"/>
      <w:sz w:val="20"/>
      <w:szCs w:val="20"/>
    </w:rPr>
  </w:style>
  <w:style w:type="paragraph" w:styleId="Header">
    <w:name w:val="header"/>
    <w:basedOn w:val="Normal"/>
    <w:link w:val="HeaderChar"/>
    <w:uiPriority w:val="99"/>
    <w:unhideWhenUsed/>
    <w:rsid w:val="00BE3A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3A14"/>
    <w:rPr>
      <w:sz w:val="22"/>
      <w:szCs w:val="22"/>
      <w:lang w:val="nl-BE" w:eastAsia="zh-TW" w:bidi="he-IL"/>
    </w:rPr>
  </w:style>
  <w:style w:type="paragraph" w:styleId="Footer">
    <w:name w:val="footer"/>
    <w:basedOn w:val="Normal"/>
    <w:link w:val="FooterChar"/>
    <w:uiPriority w:val="99"/>
    <w:unhideWhenUsed/>
    <w:rsid w:val="00BE3A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3A14"/>
    <w:rPr>
      <w:sz w:val="22"/>
      <w:szCs w:val="22"/>
      <w:lang w:val="nl-BE" w:eastAsia="zh-TW" w:bidi="he-IL"/>
    </w:rPr>
  </w:style>
  <w:style w:type="paragraph" w:styleId="NormalWeb">
    <w:name w:val="Normal (Web)"/>
    <w:basedOn w:val="Normal"/>
    <w:uiPriority w:val="99"/>
    <w:unhideWhenUsed/>
    <w:rsid w:val="00BE3A14"/>
    <w:pPr>
      <w:spacing w:before="100" w:beforeAutospacing="1" w:after="100" w:afterAutospacing="1" w:line="240" w:lineRule="auto"/>
    </w:pPr>
    <w:rPr>
      <w:rFonts w:ascii="Times" w:hAnsi="Times" w:cs="Times New Roman"/>
      <w:sz w:val="20"/>
      <w:szCs w:val="20"/>
      <w:lang w:eastAsia="nl-NL" w:bidi="ar-SA"/>
    </w:rPr>
  </w:style>
  <w:style w:type="paragraph" w:styleId="TOC5">
    <w:name w:val="toc 5"/>
    <w:basedOn w:val="Normal"/>
    <w:next w:val="Normal"/>
    <w:autoRedefine/>
    <w:uiPriority w:val="39"/>
    <w:unhideWhenUsed/>
    <w:rsid w:val="004449A3"/>
    <w:pPr>
      <w:numPr>
        <w:numId w:val="0"/>
      </w:numPr>
      <w:tabs>
        <w:tab w:val="left" w:pos="1297"/>
        <w:tab w:val="right" w:leader="dot" w:pos="9062"/>
      </w:tabs>
      <w:spacing w:after="0"/>
      <w:ind w:left="567"/>
    </w:pPr>
    <w:rPr>
      <w:rFonts w:asciiTheme="minorHAnsi" w:hAnsiTheme="minorHAnsi"/>
      <w:i/>
      <w:noProof/>
      <w:sz w:val="20"/>
      <w:szCs w:val="20"/>
      <w:lang w:val="en-GB"/>
    </w:rPr>
  </w:style>
  <w:style w:type="paragraph" w:styleId="TOC6">
    <w:name w:val="toc 6"/>
    <w:basedOn w:val="Normal"/>
    <w:next w:val="Normal"/>
    <w:autoRedefine/>
    <w:uiPriority w:val="39"/>
    <w:unhideWhenUsed/>
    <w:rsid w:val="00CA6E96"/>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CA6E96"/>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CA6E96"/>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CA6E96"/>
    <w:pPr>
      <w:spacing w:after="0"/>
      <w:ind w:left="1920"/>
    </w:pPr>
    <w:rPr>
      <w:rFonts w:asciiTheme="minorHAnsi" w:hAnsiTheme="minorHAnsi"/>
      <w:sz w:val="20"/>
      <w:szCs w:val="20"/>
    </w:rPr>
  </w:style>
  <w:style w:type="character" w:customStyle="1" w:styleId="sb8d990e2">
    <w:name w:val="sb8d990e2"/>
    <w:basedOn w:val="DefaultParagraphFont"/>
    <w:rsid w:val="00717753"/>
  </w:style>
  <w:style w:type="character" w:customStyle="1" w:styleId="column04">
    <w:name w:val="column04"/>
    <w:basedOn w:val="DefaultParagraphFont"/>
    <w:rsid w:val="00717753"/>
  </w:style>
  <w:style w:type="character" w:customStyle="1" w:styleId="Heading5Char">
    <w:name w:val="Heading 5 Char"/>
    <w:basedOn w:val="DefaultParagraphFont"/>
    <w:link w:val="Heading5"/>
    <w:uiPriority w:val="9"/>
    <w:rsid w:val="004449A3"/>
    <w:rPr>
      <w:rFonts w:ascii="Times New Roman" w:eastAsiaTheme="majorEastAsia" w:hAnsi="Times New Roman" w:cs="Times New Roman"/>
      <w:i/>
      <w:szCs w:val="22"/>
      <w:lang w:val="nl-BE" w:eastAsia="zh-TW" w:bidi="he-IL"/>
    </w:rPr>
  </w:style>
  <w:style w:type="paragraph" w:styleId="NoSpacing">
    <w:name w:val="No Spacing"/>
    <w:uiPriority w:val="1"/>
    <w:qFormat/>
    <w:rsid w:val="004449A3"/>
    <w:pPr>
      <w:jc w:val="both"/>
    </w:pPr>
    <w:rPr>
      <w:rFonts w:ascii="Times New Roman" w:hAnsi="Times New Roman"/>
      <w:szCs w:val="22"/>
      <w:lang w:val="nl-BE" w:eastAsia="zh-TW" w:bidi="he-IL"/>
    </w:rPr>
  </w:style>
  <w:style w:type="paragraph" w:styleId="DocumentMap">
    <w:name w:val="Document Map"/>
    <w:basedOn w:val="Normal"/>
    <w:link w:val="DocumentMapChar"/>
    <w:uiPriority w:val="99"/>
    <w:semiHidden/>
    <w:unhideWhenUsed/>
    <w:rsid w:val="003A54B5"/>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3A54B5"/>
    <w:rPr>
      <w:rFonts w:ascii="Lucida Grande" w:hAnsi="Lucida Grande" w:cs="Lucida Grande"/>
      <w:lang w:val="nl-BE" w:eastAsia="zh-TW" w:bidi="he-IL"/>
    </w:rPr>
  </w:style>
  <w:style w:type="character" w:styleId="FollowedHyperlink">
    <w:name w:val="FollowedHyperlink"/>
    <w:basedOn w:val="DefaultParagraphFont"/>
    <w:uiPriority w:val="99"/>
    <w:semiHidden/>
    <w:unhideWhenUsed/>
    <w:rsid w:val="003A5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E12C-A8FF-443B-939B-02F5B9CD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9002</Words>
  <Characters>51315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Washington College of Law</Company>
  <LinksUpToDate>false</LinksUpToDate>
  <CharactersWithSpaces>60197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De Cort</dc:creator>
  <cp:lastModifiedBy>Inter-American HR Moot Court Competition</cp:lastModifiedBy>
  <cp:revision>2</cp:revision>
  <dcterms:created xsi:type="dcterms:W3CDTF">2017-09-21T15:46:00Z</dcterms:created>
  <dcterms:modified xsi:type="dcterms:W3CDTF">2017-09-21T15:46:00Z</dcterms:modified>
</cp:coreProperties>
</file>